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3088" w14:textId="77777777" w:rsidR="00340F2D" w:rsidRPr="00340F2D" w:rsidRDefault="00340F2D" w:rsidP="00340F2D">
      <w:pPr>
        <w:jc w:val="center"/>
        <w:rPr>
          <w:rFonts w:ascii="Book Antiqua" w:hAnsi="Book Antiqua"/>
          <w:sz w:val="28"/>
          <w:szCs w:val="28"/>
          <w:u w:val="single"/>
        </w:rPr>
      </w:pPr>
      <w:r w:rsidRPr="00340F2D">
        <w:rPr>
          <w:rFonts w:ascii="Book Antiqua" w:hAnsi="Book Antiqua"/>
          <w:b/>
          <w:sz w:val="28"/>
          <w:szCs w:val="28"/>
          <w:u w:val="single"/>
        </w:rPr>
        <w:t>PLEASE NOTE:</w:t>
      </w:r>
    </w:p>
    <w:p w14:paraId="70F892F7" w14:textId="77777777" w:rsidR="00340F2D" w:rsidRPr="00340F2D" w:rsidRDefault="00340F2D" w:rsidP="00340F2D">
      <w:pPr>
        <w:jc w:val="center"/>
        <w:rPr>
          <w:rFonts w:ascii="Book Antiqua" w:hAnsi="Book Antiqua"/>
          <w:b/>
          <w:sz w:val="28"/>
          <w:szCs w:val="28"/>
        </w:rPr>
      </w:pPr>
      <w:r w:rsidRPr="00340F2D">
        <w:rPr>
          <w:rFonts w:ascii="Book Antiqua" w:hAnsi="Book Antiqua"/>
          <w:b/>
          <w:sz w:val="28"/>
          <w:szCs w:val="28"/>
        </w:rPr>
        <w:t xml:space="preserve">Estate Planning Council of Long Island, Inc. (the “Council”) is endeavoring to qualify the featured presentations at its monthly meetings for CPE/CLE/CE/PACE credits to offer its members the opportunity to obtain professional educational credits as an additional benefit for attending. </w:t>
      </w:r>
    </w:p>
    <w:p w14:paraId="0B2B0B77"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Please be advised, however, that:</w:t>
      </w:r>
    </w:p>
    <w:p w14:paraId="0D637FEB"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1.       Due to the specific qualification requirements for certain credits, each meeting may not qualify for every credit due to reasons beyond the control of the Council; and</w:t>
      </w:r>
    </w:p>
    <w:p w14:paraId="3D2F09E0"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2.       A particular presentation’s qualification for such credits will be determined after the meeting by third party sponsors.</w:t>
      </w:r>
    </w:p>
    <w:p w14:paraId="509AB65C"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340F2D">
        <w:rPr>
          <w:rFonts w:ascii="Book Antiqua" w:hAnsi="Book Antiqua"/>
          <w:b/>
          <w:sz w:val="28"/>
          <w:szCs w:val="28"/>
        </w:rPr>
        <w:t>qualification</w:t>
      </w:r>
      <w:proofErr w:type="gramEnd"/>
      <w:r w:rsidRPr="00340F2D">
        <w:rPr>
          <w:rFonts w:ascii="Book Antiqua" w:hAnsi="Book Antiqua"/>
          <w:b/>
          <w:sz w:val="28"/>
          <w:szCs w:val="28"/>
        </w:rPr>
        <w:t xml:space="preserve"> cannot be guaranteed.</w:t>
      </w:r>
    </w:p>
    <w:p w14:paraId="5A52B50C" w14:textId="77777777" w:rsidR="00340F2D" w:rsidRPr="00340F2D" w:rsidRDefault="00340F2D" w:rsidP="00340F2D">
      <w:pPr>
        <w:pStyle w:val="NoSpacing"/>
        <w:rPr>
          <w:rFonts w:ascii="Book Antiqua" w:hAnsi="Book Antiqua" w:cs="Arial"/>
          <w:b/>
          <w:sz w:val="28"/>
          <w:szCs w:val="28"/>
          <w:u w:val="single"/>
        </w:rPr>
      </w:pPr>
    </w:p>
    <w:p w14:paraId="31F86E18" w14:textId="77777777" w:rsidR="00340F2D" w:rsidRPr="00340F2D" w:rsidRDefault="00340F2D" w:rsidP="00340F2D">
      <w:pPr>
        <w:pStyle w:val="NoSpacing"/>
        <w:rPr>
          <w:rFonts w:ascii="Book Antiqua" w:hAnsi="Book Antiqua" w:cs="Arial"/>
          <w:b/>
          <w:sz w:val="28"/>
          <w:szCs w:val="28"/>
          <w:u w:val="single"/>
        </w:rPr>
      </w:pPr>
      <w:r w:rsidRPr="00340F2D">
        <w:rPr>
          <w:rFonts w:ascii="Book Antiqua" w:hAnsi="Book Antiqua" w:cs="Arial"/>
          <w:b/>
          <w:sz w:val="28"/>
          <w:szCs w:val="28"/>
          <w:u w:val="single"/>
        </w:rPr>
        <w:t>If seeking credit, please note:</w:t>
      </w:r>
    </w:p>
    <w:p w14:paraId="22A4554E" w14:textId="77777777" w:rsidR="00340F2D" w:rsidRPr="00340F2D" w:rsidRDefault="00340F2D" w:rsidP="00340F2D">
      <w:pPr>
        <w:pStyle w:val="NormalWeb"/>
        <w:rPr>
          <w:rFonts w:ascii="Book Antiqua" w:hAnsi="Book Antiqua" w:cs="Arial"/>
          <w:b/>
          <w:color w:val="000000"/>
          <w:sz w:val="28"/>
          <w:szCs w:val="28"/>
        </w:rPr>
      </w:pPr>
      <w:r w:rsidRPr="00340F2D">
        <w:rPr>
          <w:rFonts w:ascii="Book Antiqua" w:hAnsi="Book Antiqua" w:cs="Arial"/>
          <w:b/>
          <w:color w:val="000000"/>
          <w:sz w:val="28"/>
          <w:szCs w:val="28"/>
        </w:rPr>
        <w:t>a. Late-comers and early-leavers will not qualify to receive CE credit for their discipline(s). </w:t>
      </w:r>
    </w:p>
    <w:p w14:paraId="156948DC" w14:textId="77777777" w:rsidR="00340F2D" w:rsidRPr="00340F2D" w:rsidRDefault="00340F2D" w:rsidP="00340F2D">
      <w:pPr>
        <w:pStyle w:val="NormalWeb"/>
        <w:rPr>
          <w:rFonts w:ascii="Book Antiqua" w:hAnsi="Book Antiqua"/>
          <w:b/>
          <w:color w:val="000000"/>
          <w:sz w:val="28"/>
          <w:szCs w:val="28"/>
        </w:rPr>
      </w:pPr>
      <w:r w:rsidRPr="00340F2D">
        <w:rPr>
          <w:rFonts w:ascii="Book Antiqua" w:hAnsi="Book Antiqua" w:cs="Arial"/>
          <w:b/>
          <w:color w:val="000000"/>
          <w:sz w:val="28"/>
          <w:szCs w:val="28"/>
        </w:rPr>
        <w:t xml:space="preserve">b. </w:t>
      </w:r>
      <w:proofErr w:type="gramStart"/>
      <w:r w:rsidRPr="00340F2D">
        <w:rPr>
          <w:rFonts w:ascii="Book Antiqua" w:hAnsi="Book Antiqua" w:cs="Arial"/>
          <w:b/>
          <w:color w:val="000000"/>
          <w:sz w:val="28"/>
          <w:szCs w:val="28"/>
        </w:rPr>
        <w:t>In order to</w:t>
      </w:r>
      <w:proofErr w:type="gramEnd"/>
      <w:r w:rsidRPr="00340F2D">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031CEA41" w14:textId="77777777" w:rsidR="00340F2D" w:rsidRPr="00340F2D" w:rsidRDefault="00340F2D" w:rsidP="00340F2D">
      <w:pPr>
        <w:pStyle w:val="NormalWeb"/>
        <w:rPr>
          <w:rFonts w:ascii="Book Antiqua" w:hAnsi="Book Antiqua"/>
          <w:b/>
          <w:color w:val="000000"/>
          <w:sz w:val="28"/>
          <w:szCs w:val="28"/>
        </w:rPr>
      </w:pPr>
      <w:r w:rsidRPr="00340F2D">
        <w:rPr>
          <w:rFonts w:ascii="Book Antiqua" w:hAnsi="Book Antiqua" w:cs="Arial"/>
          <w:b/>
          <w:color w:val="000000"/>
          <w:sz w:val="28"/>
          <w:szCs w:val="28"/>
          <w:highlight w:val="lightGray"/>
        </w:rPr>
        <w:t>c. Guests are not eligible to receive CE credit.</w:t>
      </w:r>
      <w:r w:rsidRPr="00340F2D">
        <w:rPr>
          <w:rFonts w:ascii="Book Antiqua" w:hAnsi="Book Antiqua" w:cs="Arial"/>
          <w:b/>
          <w:color w:val="000000"/>
          <w:sz w:val="28"/>
          <w:szCs w:val="28"/>
        </w:rPr>
        <w:t> </w:t>
      </w:r>
    </w:p>
    <w:p w14:paraId="07537A49" w14:textId="77777777" w:rsidR="00340F2D" w:rsidRPr="00340F2D" w:rsidRDefault="00340F2D" w:rsidP="00340F2D">
      <w:pPr>
        <w:pStyle w:val="NormalWeb"/>
        <w:rPr>
          <w:rFonts w:ascii="Book Antiqua" w:hAnsi="Book Antiqua" w:cs="Arial"/>
          <w:b/>
          <w:color w:val="000000"/>
          <w:sz w:val="28"/>
          <w:szCs w:val="28"/>
        </w:rPr>
      </w:pPr>
      <w:r w:rsidRPr="00340F2D">
        <w:rPr>
          <w:rFonts w:ascii="Book Antiqua" w:hAnsi="Book Antiqua" w:cs="Arial"/>
          <w:b/>
          <w:color w:val="000000"/>
          <w:sz w:val="28"/>
          <w:szCs w:val="28"/>
        </w:rPr>
        <w:t>d. The speaker's outline will be available on the website two or more days before the meeting. </w:t>
      </w:r>
    </w:p>
    <w:p w14:paraId="2886FE9E"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Farrell Fritz, PC- CLE provider number 0805</w:t>
      </w:r>
    </w:p>
    <w:p w14:paraId="5DE2B16E"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1 Credit in the Areas of Professional Practice</w:t>
      </w:r>
    </w:p>
    <w:p w14:paraId="5CBDA2D6" w14:textId="77777777" w:rsidR="00340F2D" w:rsidRPr="00340F2D" w:rsidRDefault="00340F2D" w:rsidP="00340F2D">
      <w:pPr>
        <w:pStyle w:val="NoSpacing"/>
        <w:rPr>
          <w:rFonts w:ascii="Book Antiqua" w:hAnsi="Book Antiqua"/>
          <w:b/>
          <w:sz w:val="28"/>
          <w:szCs w:val="28"/>
        </w:rPr>
      </w:pPr>
      <w:r w:rsidRPr="00340F2D">
        <w:rPr>
          <w:rFonts w:ascii="Book Antiqua" w:hAnsi="Book Antiqua"/>
          <w:b/>
          <w:sz w:val="28"/>
          <w:szCs w:val="28"/>
        </w:rPr>
        <w:t>This course is intended for experienced attorneys only.</w:t>
      </w:r>
    </w:p>
    <w:p w14:paraId="721CD40A" w14:textId="77777777" w:rsidR="00340F2D" w:rsidRPr="00340F2D" w:rsidRDefault="00340F2D" w:rsidP="00340F2D">
      <w:pPr>
        <w:pStyle w:val="NoSpacing"/>
        <w:rPr>
          <w:rFonts w:ascii="Book Antiqua" w:hAnsi="Book Antiqua"/>
          <w:b/>
          <w:sz w:val="28"/>
          <w:szCs w:val="28"/>
        </w:rPr>
      </w:pPr>
    </w:p>
    <w:p w14:paraId="6F81AFC1" w14:textId="77777777" w:rsidR="00340F2D" w:rsidRDefault="00340F2D" w:rsidP="00340F2D">
      <w:pPr>
        <w:rPr>
          <w:rFonts w:ascii="Book Antiqua" w:hAnsi="Book Antiqua"/>
          <w:b/>
          <w:sz w:val="28"/>
          <w:szCs w:val="28"/>
          <w:u w:val="single"/>
        </w:rPr>
      </w:pPr>
    </w:p>
    <w:p w14:paraId="0DF6BD09" w14:textId="77777777" w:rsidR="00340F2D" w:rsidRDefault="00340F2D" w:rsidP="00340F2D">
      <w:pPr>
        <w:rPr>
          <w:rFonts w:ascii="Book Antiqua" w:hAnsi="Book Antiqua"/>
          <w:b/>
          <w:sz w:val="28"/>
          <w:szCs w:val="28"/>
          <w:u w:val="single"/>
        </w:rPr>
      </w:pPr>
    </w:p>
    <w:p w14:paraId="56FF7DD7" w14:textId="5D407C8B" w:rsidR="00340F2D" w:rsidRPr="00340F2D" w:rsidRDefault="00340F2D" w:rsidP="00340F2D">
      <w:pPr>
        <w:rPr>
          <w:rFonts w:ascii="Book Antiqua" w:hAnsi="Book Antiqua" w:cs="Calibri"/>
          <w:b/>
          <w:bCs/>
          <w:sz w:val="28"/>
          <w:szCs w:val="28"/>
        </w:rPr>
      </w:pPr>
      <w:r w:rsidRPr="00340F2D">
        <w:rPr>
          <w:rFonts w:ascii="Book Antiqua" w:hAnsi="Book Antiqua"/>
          <w:b/>
          <w:sz w:val="28"/>
          <w:szCs w:val="28"/>
          <w:u w:val="single"/>
        </w:rPr>
        <w:lastRenderedPageBreak/>
        <w:t>Learning Objective:</w:t>
      </w:r>
      <w:r w:rsidRPr="00340F2D">
        <w:rPr>
          <w:rFonts w:ascii="Book Antiqua" w:hAnsi="Book Antiqua"/>
          <w:sz w:val="28"/>
          <w:szCs w:val="28"/>
        </w:rPr>
        <w:t xml:space="preserve"> </w:t>
      </w:r>
      <w:r w:rsidRPr="00340F2D">
        <w:rPr>
          <w:rFonts w:ascii="Book Antiqua" w:hAnsi="Book Antiqua" w:cs="Calibri"/>
          <w:b/>
          <w:bCs/>
          <w:sz w:val="28"/>
          <w:szCs w:val="28"/>
        </w:rPr>
        <w:t>Planning opportunities and pitfalls with taxable and non-taxable installment obligations.</w:t>
      </w:r>
    </w:p>
    <w:p w14:paraId="228B84D6" w14:textId="77777777" w:rsidR="00340F2D" w:rsidRPr="00340F2D" w:rsidRDefault="00340F2D" w:rsidP="00340F2D">
      <w:pPr>
        <w:rPr>
          <w:rFonts w:ascii="Book Antiqua" w:hAnsi="Book Antiqua"/>
          <w:b/>
          <w:sz w:val="28"/>
          <w:szCs w:val="28"/>
        </w:rPr>
      </w:pPr>
      <w:r w:rsidRPr="00340F2D">
        <w:rPr>
          <w:rFonts w:ascii="Book Antiqua" w:hAnsi="Book Antiqua"/>
          <w:b/>
          <w:sz w:val="28"/>
          <w:szCs w:val="28"/>
          <w:u w:val="single"/>
        </w:rPr>
        <w:t>Prerequisite:</w:t>
      </w:r>
      <w:r w:rsidRPr="00340F2D">
        <w:rPr>
          <w:rFonts w:ascii="Book Antiqua" w:hAnsi="Book Antiqua"/>
          <w:b/>
          <w:sz w:val="28"/>
          <w:szCs w:val="28"/>
        </w:rPr>
        <w:t xml:space="preserve"> None</w:t>
      </w:r>
    </w:p>
    <w:p w14:paraId="5D73D683" w14:textId="77777777" w:rsidR="00340F2D" w:rsidRPr="00340F2D" w:rsidRDefault="00340F2D" w:rsidP="00340F2D">
      <w:pPr>
        <w:rPr>
          <w:rFonts w:ascii="Book Antiqua" w:hAnsi="Book Antiqua"/>
          <w:b/>
          <w:sz w:val="28"/>
          <w:szCs w:val="28"/>
        </w:rPr>
      </w:pPr>
      <w:r w:rsidRPr="00340F2D">
        <w:rPr>
          <w:rFonts w:ascii="Book Antiqua" w:hAnsi="Book Antiqua"/>
          <w:b/>
          <w:sz w:val="28"/>
          <w:szCs w:val="28"/>
          <w:u w:val="single"/>
        </w:rPr>
        <w:t>Level of Knowledge</w:t>
      </w:r>
      <w:r w:rsidRPr="00340F2D">
        <w:rPr>
          <w:rFonts w:ascii="Book Antiqua" w:hAnsi="Book Antiqua"/>
          <w:b/>
          <w:sz w:val="28"/>
          <w:szCs w:val="28"/>
        </w:rPr>
        <w:t>: Intermediate</w:t>
      </w:r>
    </w:p>
    <w:p w14:paraId="3FF95873" w14:textId="77777777" w:rsidR="00340F2D" w:rsidRPr="00340F2D" w:rsidRDefault="00340F2D" w:rsidP="00340F2D">
      <w:pPr>
        <w:rPr>
          <w:rFonts w:ascii="Book Antiqua" w:hAnsi="Book Antiqua"/>
          <w:b/>
          <w:sz w:val="28"/>
          <w:szCs w:val="28"/>
        </w:rPr>
      </w:pPr>
      <w:r w:rsidRPr="00340F2D">
        <w:rPr>
          <w:rFonts w:ascii="Book Antiqua" w:hAnsi="Book Antiqua"/>
          <w:b/>
          <w:sz w:val="28"/>
          <w:szCs w:val="28"/>
          <w:u w:val="single"/>
        </w:rPr>
        <w:t>Teaching Method:</w:t>
      </w:r>
      <w:r w:rsidRPr="00340F2D">
        <w:rPr>
          <w:rFonts w:ascii="Book Antiqua" w:hAnsi="Book Antiqua"/>
          <w:b/>
          <w:sz w:val="28"/>
          <w:szCs w:val="28"/>
        </w:rPr>
        <w:t xml:space="preserve"> Live</w:t>
      </w:r>
    </w:p>
    <w:p w14:paraId="5BC30D17" w14:textId="77777777" w:rsidR="00340F2D" w:rsidRPr="00340F2D" w:rsidRDefault="00340F2D" w:rsidP="00340F2D">
      <w:pPr>
        <w:pStyle w:val="NormalWeb"/>
        <w:rPr>
          <w:rFonts w:ascii="Book Antiqua" w:hAnsi="Book Antiqua"/>
          <w:b/>
          <w:bCs/>
          <w:sz w:val="28"/>
          <w:szCs w:val="28"/>
        </w:rPr>
      </w:pPr>
      <w:r w:rsidRPr="00340F2D">
        <w:rPr>
          <w:rFonts w:ascii="Book Antiqua" w:hAnsi="Book Antiqua"/>
          <w:b/>
          <w:sz w:val="28"/>
          <w:szCs w:val="28"/>
          <w:u w:val="single"/>
        </w:rPr>
        <w:t>Recommended CPE credit:</w:t>
      </w:r>
      <w:r w:rsidRPr="00340F2D">
        <w:rPr>
          <w:rFonts w:ascii="Book Antiqua" w:hAnsi="Book Antiqua"/>
          <w:b/>
          <w:sz w:val="28"/>
          <w:szCs w:val="28"/>
        </w:rPr>
        <w:t xml:space="preserve"> 1 credit in the</w:t>
      </w:r>
      <w:r w:rsidRPr="00340F2D">
        <w:rPr>
          <w:sz w:val="28"/>
          <w:szCs w:val="28"/>
        </w:rPr>
        <w:t xml:space="preserve"> </w:t>
      </w:r>
      <w:r w:rsidRPr="00340F2D">
        <w:rPr>
          <w:rFonts w:ascii="Book Antiqua" w:hAnsi="Book Antiqua" w:cs="Arial"/>
          <w:b/>
          <w:bCs/>
          <w:sz w:val="28"/>
          <w:szCs w:val="28"/>
        </w:rPr>
        <w:t xml:space="preserve">Tax Services </w:t>
      </w:r>
      <w:r w:rsidRPr="00340F2D">
        <w:rPr>
          <w:rFonts w:ascii="Book Antiqua" w:hAnsi="Book Antiqua"/>
          <w:b/>
          <w:sz w:val="28"/>
          <w:szCs w:val="28"/>
        </w:rPr>
        <w:t>area.</w:t>
      </w:r>
    </w:p>
    <w:p w14:paraId="64DA18F9" w14:textId="77777777" w:rsidR="00340F2D" w:rsidRPr="00340F2D" w:rsidRDefault="00340F2D" w:rsidP="00340F2D">
      <w:pPr>
        <w:rPr>
          <w:rFonts w:ascii="Book Antiqua" w:hAnsi="Book Antiqua"/>
          <w:b/>
          <w:sz w:val="28"/>
          <w:szCs w:val="28"/>
        </w:rPr>
      </w:pPr>
      <w:r w:rsidRPr="00340F2D">
        <w:rPr>
          <w:rFonts w:ascii="Book Antiqua" w:hAnsi="Book Antiqua"/>
          <w:b/>
          <w:sz w:val="28"/>
          <w:szCs w:val="28"/>
          <w:u w:val="single"/>
        </w:rPr>
        <w:t>New York State Sponsor Identification Number:</w:t>
      </w:r>
      <w:r w:rsidRPr="00340F2D">
        <w:rPr>
          <w:rFonts w:ascii="Book Antiqua" w:hAnsi="Book Antiqua"/>
          <w:b/>
          <w:sz w:val="28"/>
          <w:szCs w:val="28"/>
        </w:rPr>
        <w:t xml:space="preserve"> 002917</w:t>
      </w:r>
    </w:p>
    <w:p w14:paraId="1DFCFEB2" w14:textId="77777777" w:rsidR="00340F2D" w:rsidRPr="00340F2D" w:rsidRDefault="00340F2D" w:rsidP="00340F2D">
      <w:pPr>
        <w:pBdr>
          <w:bottom w:val="dotted" w:sz="24" w:space="2" w:color="auto"/>
        </w:pBdr>
        <w:rPr>
          <w:rFonts w:ascii="Book Antiqua" w:hAnsi="Book Antiqua"/>
          <w:b/>
          <w:sz w:val="28"/>
          <w:szCs w:val="28"/>
        </w:rPr>
      </w:pPr>
      <w:r w:rsidRPr="00340F2D">
        <w:rPr>
          <w:rFonts w:ascii="Book Antiqua" w:hAnsi="Book Antiqua"/>
          <w:b/>
          <w:sz w:val="28"/>
          <w:szCs w:val="28"/>
          <w:u w:val="single"/>
        </w:rPr>
        <w:t>Advanced Preparation:</w:t>
      </w:r>
      <w:r w:rsidRPr="00340F2D">
        <w:rPr>
          <w:rFonts w:ascii="Book Antiqua" w:hAnsi="Book Antiqua"/>
          <w:b/>
          <w:sz w:val="28"/>
          <w:szCs w:val="28"/>
        </w:rPr>
        <w:t xml:space="preserve"> None</w:t>
      </w:r>
    </w:p>
    <w:p w14:paraId="0DC3BE45"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29671B1C"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340F2D">
        <w:rPr>
          <w:rFonts w:ascii="Book Antiqua" w:hAnsi="Book Antiqua" w:cs="Vijaya"/>
          <w:b/>
          <w:spacing w:val="-2"/>
          <w:kern w:val="28"/>
          <w:sz w:val="28"/>
          <w:szCs w:val="28"/>
        </w:rPr>
        <w:t>Cordially,</w:t>
      </w:r>
    </w:p>
    <w:p w14:paraId="7387C3EE" w14:textId="77777777" w:rsidR="00340F2D" w:rsidRPr="00340F2D" w:rsidRDefault="00340F2D" w:rsidP="00340F2D">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340F2D">
        <w:rPr>
          <w:rFonts w:ascii="Book Antiqua" w:hAnsi="Book Antiqua"/>
          <w:b/>
          <w:color w:val="2A2A2A"/>
          <w:kern w:val="28"/>
          <w:sz w:val="28"/>
          <w:szCs w:val="28"/>
        </w:rPr>
        <w:t>Peter Manzi, CFP®, CEPA</w:t>
      </w:r>
    </w:p>
    <w:p w14:paraId="3A747B98" w14:textId="77777777" w:rsidR="00340F2D" w:rsidRPr="00340F2D" w:rsidRDefault="00340F2D" w:rsidP="00340F2D">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340F2D">
        <w:rPr>
          <w:rFonts w:ascii="Book Antiqua" w:hAnsi="Book Antiqua"/>
          <w:b/>
          <w:color w:val="2A2A2A"/>
          <w:kern w:val="28"/>
          <w:sz w:val="28"/>
          <w:szCs w:val="28"/>
        </w:rPr>
        <w:t xml:space="preserve">Alison </w:t>
      </w:r>
      <w:proofErr w:type="spellStart"/>
      <w:r w:rsidRPr="00340F2D">
        <w:rPr>
          <w:rFonts w:ascii="Book Antiqua" w:hAnsi="Book Antiqua"/>
          <w:b/>
          <w:color w:val="2A2A2A"/>
          <w:kern w:val="28"/>
          <w:sz w:val="28"/>
          <w:szCs w:val="28"/>
        </w:rPr>
        <w:t>Gladowsky</w:t>
      </w:r>
      <w:proofErr w:type="spellEnd"/>
      <w:r w:rsidRPr="00340F2D">
        <w:rPr>
          <w:rFonts w:ascii="Book Antiqua" w:hAnsi="Book Antiqua"/>
          <w:b/>
          <w:color w:val="2A2A2A"/>
          <w:kern w:val="28"/>
          <w:sz w:val="28"/>
          <w:szCs w:val="28"/>
        </w:rPr>
        <w:t>, Esq.</w:t>
      </w:r>
    </w:p>
    <w:p w14:paraId="21B6530F" w14:textId="77777777" w:rsidR="00340F2D" w:rsidRPr="00340F2D" w:rsidRDefault="00340F2D" w:rsidP="00340F2D">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340F2D">
        <w:rPr>
          <w:rFonts w:ascii="Book Antiqua" w:hAnsi="Book Antiqua"/>
          <w:b/>
          <w:kern w:val="28"/>
          <w:sz w:val="28"/>
          <w:szCs w:val="28"/>
        </w:rPr>
        <w:t xml:space="preserve">Co-Vice Presidents, </w:t>
      </w:r>
      <w:r w:rsidRPr="00340F2D">
        <w:rPr>
          <w:rFonts w:ascii="Book Antiqua" w:hAnsi="Book Antiqua" w:cs="Vijaya"/>
          <w:b/>
          <w:spacing w:val="-2"/>
          <w:kern w:val="28"/>
          <w:sz w:val="28"/>
          <w:szCs w:val="28"/>
        </w:rPr>
        <w:t xml:space="preserve">Speakers’ Committee </w:t>
      </w:r>
      <w:proofErr w:type="spellStart"/>
      <w:r w:rsidRPr="00340F2D">
        <w:rPr>
          <w:rFonts w:ascii="Book Antiqua" w:hAnsi="Book Antiqua" w:cs="Vijaya"/>
          <w:b/>
          <w:spacing w:val="-2"/>
          <w:kern w:val="28"/>
          <w:sz w:val="28"/>
          <w:szCs w:val="28"/>
        </w:rPr>
        <w:t>Chairpeople</w:t>
      </w:r>
      <w:proofErr w:type="spellEnd"/>
    </w:p>
    <w:p w14:paraId="6A9D1BF2" w14:textId="77777777" w:rsidR="00340F2D" w:rsidRPr="00340F2D" w:rsidRDefault="00340F2D" w:rsidP="00340F2D">
      <w:pPr>
        <w:pStyle w:val="NoSpacing"/>
        <w:rPr>
          <w:sz w:val="26"/>
          <w:szCs w:val="26"/>
        </w:rPr>
      </w:pPr>
    </w:p>
    <w:p w14:paraId="7F1B8B25" w14:textId="77777777" w:rsidR="00340F2D" w:rsidRDefault="00340F2D" w:rsidP="00340F2D">
      <w:pPr>
        <w:pStyle w:val="NoSpacing"/>
        <w:rPr>
          <w:sz w:val="26"/>
          <w:szCs w:val="26"/>
        </w:rPr>
      </w:pPr>
    </w:p>
    <w:p w14:paraId="28E67F65" w14:textId="77777777" w:rsidR="00340F2D" w:rsidRDefault="00340F2D" w:rsidP="00340F2D">
      <w:pPr>
        <w:pStyle w:val="NoSpacing"/>
        <w:jc w:val="center"/>
        <w:rPr>
          <w:rFonts w:ascii="Bookman Old Style" w:hAnsi="Bookman Old Style"/>
          <w:b/>
          <w:bCs/>
          <w:sz w:val="32"/>
          <w:szCs w:val="32"/>
        </w:rPr>
      </w:pPr>
    </w:p>
    <w:p w14:paraId="6A072AC3" w14:textId="74010691" w:rsidR="00340F2D" w:rsidRPr="00340F2D" w:rsidRDefault="00340F2D" w:rsidP="00340F2D">
      <w:pPr>
        <w:pStyle w:val="NoSpacing"/>
        <w:jc w:val="center"/>
        <w:rPr>
          <w:rFonts w:ascii="Bookman Old Style" w:hAnsi="Bookman Old Style"/>
          <w:b/>
          <w:bCs/>
          <w:sz w:val="32"/>
          <w:szCs w:val="32"/>
        </w:rPr>
      </w:pPr>
      <w:r>
        <w:rPr>
          <w:rFonts w:ascii="Bookman Old Style" w:hAnsi="Bookman Old Style"/>
          <w:b/>
          <w:bCs/>
          <w:sz w:val="32"/>
          <w:szCs w:val="32"/>
        </w:rPr>
        <w:t>**</w:t>
      </w:r>
      <w:r w:rsidRPr="00340F2D">
        <w:rPr>
          <w:rFonts w:ascii="Bookman Old Style" w:hAnsi="Bookman Old Style"/>
          <w:b/>
          <w:bCs/>
          <w:sz w:val="32"/>
          <w:szCs w:val="32"/>
        </w:rPr>
        <w:t>You MUST return the evaluation forms no later than the close of business on</w:t>
      </w:r>
    </w:p>
    <w:p w14:paraId="3000676A" w14:textId="77777777" w:rsidR="00340F2D" w:rsidRPr="00340F2D" w:rsidRDefault="00340F2D" w:rsidP="00340F2D">
      <w:pPr>
        <w:pStyle w:val="NoSpacing"/>
        <w:jc w:val="center"/>
        <w:rPr>
          <w:rFonts w:ascii="Bookman Old Style" w:hAnsi="Bookman Old Style"/>
          <w:b/>
          <w:bCs/>
          <w:sz w:val="32"/>
          <w:szCs w:val="32"/>
        </w:rPr>
      </w:pPr>
      <w:r w:rsidRPr="00340F2D">
        <w:rPr>
          <w:rFonts w:ascii="Bookman Old Style" w:hAnsi="Bookman Old Style"/>
          <w:b/>
          <w:bCs/>
          <w:sz w:val="32"/>
          <w:szCs w:val="32"/>
          <w:u w:val="single"/>
        </w:rPr>
        <w:t xml:space="preserve">Monday, September 25, 2023, </w:t>
      </w:r>
      <w:r w:rsidRPr="00340F2D">
        <w:rPr>
          <w:rFonts w:ascii="Bookman Old Style" w:hAnsi="Bookman Old Style"/>
          <w:b/>
          <w:bCs/>
          <w:sz w:val="32"/>
          <w:szCs w:val="32"/>
        </w:rPr>
        <w:t xml:space="preserve">to be eligible for </w:t>
      </w:r>
    </w:p>
    <w:p w14:paraId="1A8C088E" w14:textId="6F812773" w:rsidR="00340F2D" w:rsidRPr="00340F2D" w:rsidRDefault="00340F2D" w:rsidP="00340F2D">
      <w:pPr>
        <w:pStyle w:val="NoSpacing"/>
        <w:jc w:val="center"/>
        <w:rPr>
          <w:rFonts w:ascii="Bookman Old Style" w:hAnsi="Bookman Old Style"/>
          <w:b/>
          <w:bCs/>
          <w:sz w:val="32"/>
          <w:szCs w:val="32"/>
          <w:u w:val="single"/>
        </w:rPr>
      </w:pPr>
      <w:r w:rsidRPr="00340F2D">
        <w:rPr>
          <w:rFonts w:ascii="Bookman Old Style" w:hAnsi="Bookman Old Style"/>
          <w:b/>
          <w:bCs/>
          <w:sz w:val="32"/>
          <w:szCs w:val="32"/>
        </w:rPr>
        <w:t xml:space="preserve">CE </w:t>
      </w:r>
      <w:proofErr w:type="gramStart"/>
      <w:r w:rsidRPr="00340F2D">
        <w:rPr>
          <w:rFonts w:ascii="Bookman Old Style" w:hAnsi="Bookman Old Style"/>
          <w:b/>
          <w:bCs/>
          <w:sz w:val="32"/>
          <w:szCs w:val="32"/>
        </w:rPr>
        <w:t>credit.</w:t>
      </w:r>
      <w:r>
        <w:rPr>
          <w:rFonts w:ascii="Bookman Old Style" w:hAnsi="Bookman Old Style"/>
          <w:b/>
          <w:bCs/>
          <w:sz w:val="32"/>
          <w:szCs w:val="32"/>
        </w:rPr>
        <w:t>*</w:t>
      </w:r>
      <w:proofErr w:type="gramEnd"/>
      <w:r>
        <w:rPr>
          <w:rFonts w:ascii="Bookman Old Style" w:hAnsi="Bookman Old Style"/>
          <w:b/>
          <w:bCs/>
          <w:sz w:val="32"/>
          <w:szCs w:val="32"/>
        </w:rPr>
        <w:t>*</w:t>
      </w:r>
    </w:p>
    <w:p w14:paraId="7D7E1C0D" w14:textId="77777777" w:rsidR="00340F2D" w:rsidRPr="00340F2D" w:rsidRDefault="00340F2D" w:rsidP="00340F2D">
      <w:pPr>
        <w:pStyle w:val="NoSpacing"/>
        <w:rPr>
          <w:sz w:val="32"/>
          <w:szCs w:val="32"/>
        </w:rPr>
      </w:pPr>
    </w:p>
    <w:p w14:paraId="5EB61009" w14:textId="77777777" w:rsidR="00340F2D" w:rsidRPr="00340F2D" w:rsidRDefault="00340F2D" w:rsidP="00340F2D">
      <w:pPr>
        <w:pStyle w:val="NoSpacing"/>
        <w:rPr>
          <w:sz w:val="26"/>
          <w:szCs w:val="26"/>
        </w:rPr>
      </w:pPr>
    </w:p>
    <w:p w14:paraId="09922461" w14:textId="795253D9" w:rsidR="00340F2D" w:rsidRPr="00340F2D" w:rsidRDefault="00340F2D" w:rsidP="00340F2D">
      <w:pPr>
        <w:widowControl w:val="0"/>
        <w:tabs>
          <w:tab w:val="left" w:pos="-720"/>
        </w:tabs>
        <w:suppressAutoHyphens/>
        <w:overflowPunct w:val="0"/>
        <w:autoSpaceDE w:val="0"/>
        <w:autoSpaceDN w:val="0"/>
        <w:adjustRightInd w:val="0"/>
        <w:spacing w:after="0" w:line="240" w:lineRule="auto"/>
        <w:rPr>
          <w:rFonts w:ascii="Book Antiqua" w:hAnsi="Book Antiqua" w:cs="Vijaya"/>
          <w:sz w:val="26"/>
          <w:szCs w:val="26"/>
        </w:rPr>
      </w:pPr>
    </w:p>
    <w:p w14:paraId="468A616C"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rPr>
          <w:rFonts w:ascii="Book Antiqua" w:hAnsi="Book Antiqua" w:cs="Vijaya"/>
          <w:sz w:val="26"/>
          <w:szCs w:val="26"/>
        </w:rPr>
      </w:pPr>
    </w:p>
    <w:p w14:paraId="45C85150"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30E4452D"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403EA464"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3E357063"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23255A90"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6B0FFC8F"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5F58E745"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6"/>
          <w:szCs w:val="26"/>
        </w:rPr>
      </w:pPr>
    </w:p>
    <w:p w14:paraId="70AD1C81" w14:textId="77777777" w:rsidR="00340F2D" w:rsidRPr="00340F2D" w:rsidRDefault="00340F2D" w:rsidP="00340F2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6"/>
          <w:szCs w:val="26"/>
        </w:rPr>
      </w:pPr>
    </w:p>
    <w:p w14:paraId="63DABA96" w14:textId="77777777" w:rsidR="005C0578" w:rsidRPr="00340F2D" w:rsidRDefault="005C0578">
      <w:pPr>
        <w:rPr>
          <w:sz w:val="26"/>
          <w:szCs w:val="26"/>
        </w:rPr>
      </w:pPr>
    </w:p>
    <w:sectPr w:rsidR="005C0578" w:rsidRPr="0034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2D"/>
    <w:rsid w:val="00340F2D"/>
    <w:rsid w:val="005C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1980"/>
  <w15:chartTrackingRefBased/>
  <w15:docId w15:val="{22B10B87-0B5C-4D08-BDE5-0E70B5B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2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F2D"/>
    <w:pPr>
      <w:spacing w:after="125" w:line="240" w:lineRule="auto"/>
    </w:pPr>
    <w:rPr>
      <w:rFonts w:ascii="Verdana" w:eastAsia="Times New Roman" w:hAnsi="Verdana"/>
      <w:sz w:val="24"/>
      <w:szCs w:val="24"/>
    </w:rPr>
  </w:style>
  <w:style w:type="paragraph" w:styleId="NoSpacing">
    <w:name w:val="No Spacing"/>
    <w:uiPriority w:val="1"/>
    <w:qFormat/>
    <w:rsid w:val="00340F2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Maloney</dc:creator>
  <cp:keywords/>
  <dc:description/>
  <cp:lastModifiedBy>Lisa Maloney</cp:lastModifiedBy>
  <cp:revision>1</cp:revision>
  <cp:lastPrinted>2023-08-09T13:03:00Z</cp:lastPrinted>
  <dcterms:created xsi:type="dcterms:W3CDTF">2023-08-09T12:56:00Z</dcterms:created>
  <dcterms:modified xsi:type="dcterms:W3CDTF">2023-08-09T13:04:00Z</dcterms:modified>
</cp:coreProperties>
</file>