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50D5" w14:textId="4B967CB1" w:rsidR="00A333CD" w:rsidRDefault="00570E54" w:rsidP="00A333CD">
      <w:pPr>
        <w:spacing w:line="240" w:lineRule="auto"/>
        <w:jc w:val="center"/>
        <w:rPr>
          <w:rFonts w:ascii="Garamond" w:hAnsi="Garamond"/>
          <w:b/>
          <w:bCs/>
        </w:rPr>
      </w:pPr>
      <w:r>
        <w:rPr>
          <w:rFonts w:ascii="Garamond" w:hAnsi="Garamond"/>
          <w:b/>
          <w:bCs/>
        </w:rPr>
        <w:t xml:space="preserve">A Generation of Change in </w:t>
      </w:r>
      <w:r w:rsidR="0034003C">
        <w:rPr>
          <w:rFonts w:ascii="Garamond" w:hAnsi="Garamond"/>
          <w:b/>
          <w:bCs/>
        </w:rPr>
        <w:t xml:space="preserve">the </w:t>
      </w:r>
      <w:r>
        <w:rPr>
          <w:rFonts w:ascii="Garamond" w:hAnsi="Garamond"/>
          <w:b/>
          <w:bCs/>
        </w:rPr>
        <w:t>law of Wills and Trusts</w:t>
      </w:r>
    </w:p>
    <w:p w14:paraId="418EE6AD" w14:textId="77777777" w:rsidR="00A333CD" w:rsidRDefault="00A333CD" w:rsidP="00A333CD">
      <w:pPr>
        <w:spacing w:line="240" w:lineRule="auto"/>
        <w:jc w:val="center"/>
        <w:rPr>
          <w:rFonts w:ascii="Garamond" w:hAnsi="Garamond"/>
          <w:b/>
          <w:bCs/>
        </w:rPr>
      </w:pPr>
      <w:r>
        <w:rPr>
          <w:rFonts w:ascii="Garamond" w:hAnsi="Garamond"/>
          <w:b/>
          <w:bCs/>
        </w:rPr>
        <w:t>Prof. William P. LaPiana</w:t>
      </w:r>
    </w:p>
    <w:p w14:paraId="223458E3" w14:textId="77777777" w:rsidR="00A333CD" w:rsidRDefault="00A333CD" w:rsidP="00A333CD">
      <w:pPr>
        <w:spacing w:line="240" w:lineRule="auto"/>
        <w:jc w:val="center"/>
        <w:rPr>
          <w:rFonts w:ascii="Garamond" w:hAnsi="Garamond"/>
          <w:b/>
          <w:bCs/>
        </w:rPr>
      </w:pPr>
      <w:r>
        <w:rPr>
          <w:rFonts w:ascii="Garamond" w:hAnsi="Garamond"/>
          <w:b/>
          <w:bCs/>
        </w:rPr>
        <w:t xml:space="preserve">New York Law School </w:t>
      </w:r>
    </w:p>
    <w:p w14:paraId="4D42AE5E" w14:textId="77777777" w:rsidR="00A333CD" w:rsidRDefault="00A333CD" w:rsidP="00A333CD">
      <w:pPr>
        <w:spacing w:line="240" w:lineRule="auto"/>
        <w:jc w:val="center"/>
        <w:rPr>
          <w:rFonts w:ascii="Garamond" w:hAnsi="Garamond"/>
          <w:b/>
          <w:bCs/>
        </w:rPr>
      </w:pPr>
      <w:r>
        <w:rPr>
          <w:rFonts w:ascii="Garamond" w:hAnsi="Garamond"/>
          <w:b/>
          <w:bCs/>
        </w:rPr>
        <w:t>The Estate Planning Council of Long Island</w:t>
      </w:r>
    </w:p>
    <w:p w14:paraId="122824F1" w14:textId="77777777" w:rsidR="00A333CD" w:rsidRDefault="00A333CD" w:rsidP="00A333CD">
      <w:pPr>
        <w:spacing w:line="240" w:lineRule="auto"/>
        <w:jc w:val="center"/>
        <w:rPr>
          <w:rFonts w:ascii="Garamond" w:hAnsi="Garamond"/>
          <w:b/>
          <w:bCs/>
        </w:rPr>
      </w:pPr>
      <w:r>
        <w:rPr>
          <w:rFonts w:ascii="Garamond" w:hAnsi="Garamond"/>
          <w:b/>
          <w:bCs/>
        </w:rPr>
        <w:t>January 18, 2024</w:t>
      </w:r>
    </w:p>
    <w:p w14:paraId="33B8563C" w14:textId="77777777" w:rsidR="00A333CD" w:rsidRDefault="00A333CD" w:rsidP="00A333CD">
      <w:pPr>
        <w:spacing w:line="240" w:lineRule="auto"/>
        <w:jc w:val="center"/>
        <w:rPr>
          <w:rFonts w:ascii="Garamond" w:hAnsi="Garamond"/>
          <w:b/>
          <w:bCs/>
        </w:rPr>
      </w:pPr>
    </w:p>
    <w:p w14:paraId="761C3A01" w14:textId="25E41E43" w:rsidR="008F1340" w:rsidRPr="008F1340" w:rsidRDefault="00A333CD" w:rsidP="008F1340">
      <w:pPr>
        <w:pStyle w:val="NoSpacing"/>
        <w:numPr>
          <w:ilvl w:val="0"/>
          <w:numId w:val="1"/>
        </w:numPr>
        <w:spacing w:before="160"/>
        <w:contextualSpacing w:val="0"/>
        <w:rPr>
          <w:rFonts w:ascii="Garamond" w:hAnsi="Garamond"/>
        </w:rPr>
      </w:pPr>
      <w:r w:rsidRPr="00A333CD">
        <w:rPr>
          <w:rFonts w:ascii="Garamond" w:hAnsi="Garamond"/>
        </w:rPr>
        <w:t>Introduction: areas of major change</w:t>
      </w:r>
    </w:p>
    <w:p w14:paraId="2FC3FB4B" w14:textId="6827BED0" w:rsidR="00A333CD" w:rsidRPr="00A333CD" w:rsidRDefault="00A333CD" w:rsidP="00637866">
      <w:pPr>
        <w:pStyle w:val="NoSpacing"/>
        <w:numPr>
          <w:ilvl w:val="1"/>
          <w:numId w:val="1"/>
        </w:numPr>
        <w:spacing w:before="160"/>
        <w:contextualSpacing w:val="0"/>
        <w:rPr>
          <w:rFonts w:ascii="Garamond" w:hAnsi="Garamond"/>
        </w:rPr>
      </w:pPr>
      <w:r w:rsidRPr="00A333CD">
        <w:rPr>
          <w:rFonts w:ascii="Garamond" w:hAnsi="Garamond"/>
        </w:rPr>
        <w:t>Family composition</w:t>
      </w:r>
    </w:p>
    <w:p w14:paraId="674052D3" w14:textId="7B13C6E0" w:rsidR="00A333CD" w:rsidRPr="00A333CD" w:rsidRDefault="002636AF" w:rsidP="00637866">
      <w:pPr>
        <w:pStyle w:val="NoSpacing"/>
        <w:numPr>
          <w:ilvl w:val="1"/>
          <w:numId w:val="1"/>
        </w:numPr>
        <w:spacing w:before="160"/>
        <w:contextualSpacing w:val="0"/>
        <w:rPr>
          <w:rFonts w:ascii="Garamond" w:hAnsi="Garamond"/>
        </w:rPr>
      </w:pPr>
      <w:r>
        <w:rPr>
          <w:rFonts w:ascii="Garamond" w:hAnsi="Garamond"/>
        </w:rPr>
        <w:t>Wills and Trusts formalities</w:t>
      </w:r>
    </w:p>
    <w:p w14:paraId="0F30D872" w14:textId="395C0CF1" w:rsidR="00A333CD" w:rsidRDefault="001C7D55" w:rsidP="00637866">
      <w:pPr>
        <w:pStyle w:val="NoSpacing"/>
        <w:numPr>
          <w:ilvl w:val="1"/>
          <w:numId w:val="1"/>
        </w:numPr>
        <w:spacing w:before="160"/>
        <w:contextualSpacing w:val="0"/>
        <w:rPr>
          <w:rFonts w:ascii="Garamond" w:hAnsi="Garamond"/>
        </w:rPr>
      </w:pPr>
      <w:r>
        <w:rPr>
          <w:rFonts w:ascii="Garamond" w:hAnsi="Garamond"/>
        </w:rPr>
        <w:t>The changing nature of the trust</w:t>
      </w:r>
    </w:p>
    <w:p w14:paraId="0FA5F3AB" w14:textId="6F871407" w:rsidR="00AA1A30" w:rsidRDefault="00AA1A30" w:rsidP="00637866">
      <w:pPr>
        <w:pStyle w:val="NoSpacing"/>
        <w:numPr>
          <w:ilvl w:val="1"/>
          <w:numId w:val="1"/>
        </w:numPr>
        <w:spacing w:before="160"/>
        <w:contextualSpacing w:val="0"/>
        <w:rPr>
          <w:rFonts w:ascii="Garamond" w:hAnsi="Garamond"/>
        </w:rPr>
      </w:pPr>
      <w:r>
        <w:rPr>
          <w:rFonts w:ascii="Garamond" w:hAnsi="Garamond"/>
        </w:rPr>
        <w:t>Wealth transfer taxes</w:t>
      </w:r>
    </w:p>
    <w:p w14:paraId="51EADC11" w14:textId="4B1ACF01" w:rsidR="00F71F77" w:rsidRDefault="00F71F77" w:rsidP="00637866">
      <w:pPr>
        <w:pStyle w:val="NoSpacing"/>
        <w:numPr>
          <w:ilvl w:val="0"/>
          <w:numId w:val="1"/>
        </w:numPr>
        <w:spacing w:before="160"/>
        <w:contextualSpacing w:val="0"/>
        <w:rPr>
          <w:rFonts w:ascii="Garamond" w:hAnsi="Garamond"/>
        </w:rPr>
      </w:pPr>
      <w:r>
        <w:rPr>
          <w:rFonts w:ascii="Garamond" w:hAnsi="Garamond"/>
        </w:rPr>
        <w:t>Family composition</w:t>
      </w:r>
    </w:p>
    <w:p w14:paraId="11F1F4F4" w14:textId="012C6CFB" w:rsidR="00F71F77" w:rsidRDefault="00570F6C" w:rsidP="00637866">
      <w:pPr>
        <w:pStyle w:val="NoSpacing"/>
        <w:numPr>
          <w:ilvl w:val="1"/>
          <w:numId w:val="1"/>
        </w:numPr>
        <w:spacing w:before="160"/>
        <w:contextualSpacing w:val="0"/>
        <w:rPr>
          <w:rFonts w:ascii="Garamond" w:hAnsi="Garamond"/>
        </w:rPr>
      </w:pPr>
      <w:r>
        <w:rPr>
          <w:rFonts w:ascii="Garamond" w:hAnsi="Garamond"/>
        </w:rPr>
        <w:t>M</w:t>
      </w:r>
      <w:r w:rsidR="00F71F77">
        <w:rPr>
          <w:rFonts w:ascii="Garamond" w:hAnsi="Garamond"/>
        </w:rPr>
        <w:t>arriage</w:t>
      </w:r>
    </w:p>
    <w:p w14:paraId="0734EC56" w14:textId="673C0E1A" w:rsidR="00615498" w:rsidRDefault="00615498" w:rsidP="00615498">
      <w:pPr>
        <w:pStyle w:val="NoSpacing"/>
        <w:numPr>
          <w:ilvl w:val="2"/>
          <w:numId w:val="1"/>
        </w:numPr>
        <w:spacing w:before="160"/>
        <w:contextualSpacing w:val="0"/>
        <w:rPr>
          <w:rFonts w:ascii="Garamond" w:hAnsi="Garamond"/>
        </w:rPr>
      </w:pPr>
      <w:r>
        <w:rPr>
          <w:rFonts w:ascii="Garamond" w:hAnsi="Garamond"/>
        </w:rPr>
        <w:t>Marriage Equality Act</w:t>
      </w:r>
      <w:r w:rsidR="008C71AE">
        <w:rPr>
          <w:rFonts w:ascii="Garamond" w:hAnsi="Garamond"/>
        </w:rPr>
        <w:t xml:space="preserve"> (“</w:t>
      </w:r>
      <w:r w:rsidR="00787095">
        <w:rPr>
          <w:rFonts w:ascii="Garamond" w:hAnsi="Garamond"/>
        </w:rPr>
        <w:t>MEA”</w:t>
      </w:r>
      <w:r w:rsidR="008C71AE">
        <w:rPr>
          <w:rFonts w:ascii="Garamond" w:hAnsi="Garamond"/>
        </w:rPr>
        <w:t xml:space="preserve">) </w:t>
      </w:r>
      <w:r>
        <w:rPr>
          <w:rFonts w:ascii="Garamond" w:hAnsi="Garamond"/>
        </w:rPr>
        <w:t xml:space="preserve">(L. 2011 cs. 95, 96) became effective July 24, 2011. </w:t>
      </w:r>
      <w:r w:rsidR="00D33F53">
        <w:rPr>
          <w:rFonts w:ascii="Garamond" w:hAnsi="Garamond"/>
        </w:rPr>
        <w:t xml:space="preserve">The act added </w:t>
      </w:r>
      <w:r w:rsidR="009A27B7">
        <w:rPr>
          <w:rFonts w:ascii="Garamond" w:hAnsi="Garamond"/>
        </w:rPr>
        <w:t xml:space="preserve">a new section 10-a to the Domestic Relations Law which </w:t>
      </w:r>
      <w:r w:rsidR="00120D66">
        <w:rPr>
          <w:rFonts w:ascii="Garamond" w:hAnsi="Garamond"/>
        </w:rPr>
        <w:t xml:space="preserve">states that an otherwise valid marriage is </w:t>
      </w:r>
      <w:r w:rsidR="00E84218">
        <w:rPr>
          <w:rFonts w:ascii="Garamond" w:hAnsi="Garamond"/>
        </w:rPr>
        <w:t>“</w:t>
      </w:r>
      <w:r w:rsidR="00E84218" w:rsidRPr="00E84218">
        <w:rPr>
          <w:rFonts w:ascii="Garamond" w:hAnsi="Garamond"/>
        </w:rPr>
        <w:t>shall be valid regardless of whether the parties to the marriage are of the same or different sex.</w:t>
      </w:r>
      <w:r w:rsidR="00E84218">
        <w:rPr>
          <w:rFonts w:ascii="Garamond" w:hAnsi="Garamond"/>
        </w:rPr>
        <w:t>”</w:t>
      </w:r>
      <w:r w:rsidR="00574856">
        <w:rPr>
          <w:rFonts w:ascii="Garamond" w:hAnsi="Garamond"/>
        </w:rPr>
        <w:t xml:space="preserve"> Note: the</w:t>
      </w:r>
      <w:r w:rsidR="0015571B">
        <w:rPr>
          <w:rFonts w:ascii="Garamond" w:hAnsi="Garamond"/>
        </w:rPr>
        <w:t xml:space="preserve"> Second Department has held </w:t>
      </w:r>
      <w:r w:rsidR="00787095">
        <w:rPr>
          <w:rFonts w:ascii="Garamond" w:hAnsi="Garamond"/>
        </w:rPr>
        <w:t>the</w:t>
      </w:r>
      <w:r w:rsidR="008C71AE">
        <w:rPr>
          <w:rFonts w:ascii="Garamond" w:hAnsi="Garamond"/>
        </w:rPr>
        <w:t xml:space="preserve"> MEA</w:t>
      </w:r>
      <w:r w:rsidR="00787095">
        <w:rPr>
          <w:rFonts w:ascii="Garamond" w:hAnsi="Garamond"/>
        </w:rPr>
        <w:t xml:space="preserve"> retroactively validates to the time the parties had a religious ceremony in 2005 followed by a civil ceremony valid under the </w:t>
      </w:r>
      <w:r w:rsidR="008C71AE">
        <w:rPr>
          <w:rFonts w:ascii="Garamond" w:hAnsi="Garamond"/>
        </w:rPr>
        <w:t>MEA</w:t>
      </w:r>
      <w:r w:rsidR="00787095">
        <w:rPr>
          <w:rFonts w:ascii="Garamond" w:hAnsi="Garamond"/>
        </w:rPr>
        <w:t xml:space="preserve"> in </w:t>
      </w:r>
      <w:r w:rsidR="008C71AE">
        <w:rPr>
          <w:rFonts w:ascii="Garamond" w:hAnsi="Garamond"/>
        </w:rPr>
        <w:t xml:space="preserve">2011, four days after the MEA’s effective date. </w:t>
      </w:r>
      <w:proofErr w:type="spellStart"/>
      <w:r w:rsidR="00FA0425">
        <w:rPr>
          <w:rFonts w:ascii="Garamond" w:hAnsi="Garamond"/>
          <w:i/>
          <w:iCs/>
        </w:rPr>
        <w:t>Mackoff</w:t>
      </w:r>
      <w:proofErr w:type="spellEnd"/>
      <w:r w:rsidR="00FA0425">
        <w:rPr>
          <w:rFonts w:ascii="Garamond" w:hAnsi="Garamond"/>
          <w:i/>
          <w:iCs/>
        </w:rPr>
        <w:t xml:space="preserve"> v. Bluemke-</w:t>
      </w:r>
      <w:proofErr w:type="spellStart"/>
      <w:r w:rsidR="00FA0425">
        <w:rPr>
          <w:rFonts w:ascii="Garamond" w:hAnsi="Garamond"/>
          <w:i/>
          <w:iCs/>
        </w:rPr>
        <w:t>Mackoff</w:t>
      </w:r>
      <w:proofErr w:type="spellEnd"/>
      <w:r w:rsidR="00FA0425">
        <w:rPr>
          <w:rFonts w:ascii="Garamond" w:hAnsi="Garamond"/>
        </w:rPr>
        <w:t xml:space="preserve">, </w:t>
      </w:r>
      <w:r w:rsidR="00C527AC">
        <w:rPr>
          <w:rFonts w:ascii="Garamond" w:hAnsi="Garamond"/>
        </w:rPr>
        <w:t xml:space="preserve">___ A.D.3d ___, ___ N.Y.S.3d ___, </w:t>
      </w:r>
      <w:r w:rsidR="00A4719A">
        <w:rPr>
          <w:rFonts w:ascii="Garamond" w:hAnsi="Garamond"/>
        </w:rPr>
        <w:t>2023 WL 7561813 (2d Dep’t).</w:t>
      </w:r>
    </w:p>
    <w:p w14:paraId="41D60E48" w14:textId="2E6399B0" w:rsidR="00F83B9F" w:rsidRDefault="00F83B9F" w:rsidP="00615498">
      <w:pPr>
        <w:pStyle w:val="NoSpacing"/>
        <w:numPr>
          <w:ilvl w:val="2"/>
          <w:numId w:val="1"/>
        </w:numPr>
        <w:spacing w:before="160"/>
        <w:contextualSpacing w:val="0"/>
        <w:rPr>
          <w:rFonts w:ascii="Garamond" w:hAnsi="Garamond"/>
        </w:rPr>
      </w:pPr>
      <w:r>
        <w:rPr>
          <w:rFonts w:ascii="Garamond" w:hAnsi="Garamond"/>
        </w:rPr>
        <w:t xml:space="preserve">The extension of marriage to same-sex couples </w:t>
      </w:r>
      <w:r w:rsidR="00CF5031">
        <w:rPr>
          <w:rFonts w:ascii="Garamond" w:hAnsi="Garamond"/>
        </w:rPr>
        <w:t xml:space="preserve">is </w:t>
      </w:r>
      <w:r w:rsidR="00A91EEA">
        <w:rPr>
          <w:rFonts w:ascii="Garamond" w:hAnsi="Garamond"/>
        </w:rPr>
        <w:t xml:space="preserve">a </w:t>
      </w:r>
      <w:r w:rsidR="00AB1D70">
        <w:rPr>
          <w:rFonts w:ascii="Garamond" w:hAnsi="Garamond"/>
        </w:rPr>
        <w:t xml:space="preserve">milestone in legal recognition of </w:t>
      </w:r>
      <w:r w:rsidR="00D32C43">
        <w:rPr>
          <w:rFonts w:ascii="Garamond" w:hAnsi="Garamond"/>
        </w:rPr>
        <w:t xml:space="preserve">family relationships that go beyond tradition. </w:t>
      </w:r>
      <w:r w:rsidR="00830D42">
        <w:rPr>
          <w:rFonts w:ascii="Garamond" w:hAnsi="Garamond"/>
        </w:rPr>
        <w:t xml:space="preserve">But in many ways the Marriage Equality Act is a conservative reform. </w:t>
      </w:r>
      <w:r w:rsidR="000E2258">
        <w:rPr>
          <w:rFonts w:ascii="Garamond" w:hAnsi="Garamond"/>
        </w:rPr>
        <w:t xml:space="preserve">The only change it makes to the legal framework of marriage is </w:t>
      </w:r>
      <w:r w:rsidR="008B59A0">
        <w:rPr>
          <w:rFonts w:ascii="Garamond" w:hAnsi="Garamond"/>
        </w:rPr>
        <w:t xml:space="preserve">to </w:t>
      </w:r>
      <w:r w:rsidR="00423076">
        <w:rPr>
          <w:rFonts w:ascii="Garamond" w:hAnsi="Garamond"/>
        </w:rPr>
        <w:t xml:space="preserve">allow two persons of the same sex to enter into </w:t>
      </w:r>
      <w:r w:rsidR="00304D00">
        <w:rPr>
          <w:rFonts w:ascii="Garamond" w:hAnsi="Garamond"/>
        </w:rPr>
        <w:t xml:space="preserve">a contractual relationship defined by law.  In the last 40 years, </w:t>
      </w:r>
      <w:r w:rsidR="008B59A0">
        <w:rPr>
          <w:rFonts w:ascii="Garamond" w:hAnsi="Garamond"/>
        </w:rPr>
        <w:t>however, the</w:t>
      </w:r>
      <w:r w:rsidR="00304D00">
        <w:rPr>
          <w:rFonts w:ascii="Garamond" w:hAnsi="Garamond"/>
        </w:rPr>
        <w:t xml:space="preserve"> </w:t>
      </w:r>
      <w:r w:rsidR="00971748">
        <w:rPr>
          <w:rFonts w:ascii="Garamond" w:hAnsi="Garamond"/>
        </w:rPr>
        <w:t>legal consequences of that contract have</w:t>
      </w:r>
      <w:r w:rsidR="00304D00">
        <w:rPr>
          <w:rFonts w:ascii="Garamond" w:hAnsi="Garamond"/>
        </w:rPr>
        <w:t xml:space="preserve"> changed in </w:t>
      </w:r>
      <w:r w:rsidR="00971748">
        <w:rPr>
          <w:rFonts w:ascii="Garamond" w:hAnsi="Garamond"/>
        </w:rPr>
        <w:t>important ways.</w:t>
      </w:r>
    </w:p>
    <w:p w14:paraId="7E2A1CC7" w14:textId="2D84F101" w:rsidR="00E450F0" w:rsidRDefault="00464592" w:rsidP="00615498">
      <w:pPr>
        <w:pStyle w:val="NoSpacing"/>
        <w:numPr>
          <w:ilvl w:val="2"/>
          <w:numId w:val="1"/>
        </w:numPr>
        <w:spacing w:before="160"/>
        <w:contextualSpacing w:val="0"/>
        <w:rPr>
          <w:rFonts w:ascii="Garamond" w:hAnsi="Garamond"/>
        </w:rPr>
      </w:pPr>
      <w:r>
        <w:rPr>
          <w:rFonts w:ascii="Garamond" w:hAnsi="Garamond"/>
        </w:rPr>
        <w:t xml:space="preserve">First, in </w:t>
      </w:r>
      <w:r w:rsidR="00F666FF">
        <w:rPr>
          <w:rFonts w:ascii="Garamond" w:hAnsi="Garamond"/>
        </w:rPr>
        <w:t xml:space="preserve">1980 </w:t>
      </w:r>
      <w:r w:rsidR="00C107E4">
        <w:rPr>
          <w:rFonts w:ascii="Garamond" w:hAnsi="Garamond"/>
        </w:rPr>
        <w:t xml:space="preserve">the legislature enacted </w:t>
      </w:r>
      <w:r w:rsidR="00E17034">
        <w:rPr>
          <w:rFonts w:ascii="Garamond" w:hAnsi="Garamond"/>
        </w:rPr>
        <w:t xml:space="preserve">Domestic Relations Law </w:t>
      </w:r>
      <w:r w:rsidR="00E17034" w:rsidRPr="00E17034">
        <w:rPr>
          <w:rFonts w:ascii="Garamond" w:hAnsi="Garamond" w:cs="Calibri"/>
        </w:rPr>
        <w:t>§</w:t>
      </w:r>
      <w:r w:rsidR="00F666FF" w:rsidRPr="00E17034">
        <w:rPr>
          <w:rFonts w:ascii="Garamond" w:hAnsi="Garamond"/>
        </w:rPr>
        <w:t xml:space="preserve"> </w:t>
      </w:r>
      <w:r w:rsidR="00E41891">
        <w:rPr>
          <w:rFonts w:ascii="Garamond" w:hAnsi="Garamond"/>
        </w:rPr>
        <w:t>236B mandating equitable distribution on divorce.  While it took about a decade for the courts to</w:t>
      </w:r>
      <w:r w:rsidR="00E0391A">
        <w:rPr>
          <w:rFonts w:ascii="Garamond" w:hAnsi="Garamond"/>
        </w:rPr>
        <w:t xml:space="preserve"> make equal division of property the norm (</w:t>
      </w:r>
      <w:r w:rsidR="00E0391A">
        <w:rPr>
          <w:rFonts w:ascii="Garamond" w:hAnsi="Garamond"/>
          <w:i/>
          <w:iCs/>
        </w:rPr>
        <w:t>see,</w:t>
      </w:r>
      <w:r w:rsidR="00E0391A">
        <w:t xml:space="preserve"> </w:t>
      </w:r>
      <w:r w:rsidR="00E0391A">
        <w:rPr>
          <w:rFonts w:ascii="Garamond" w:hAnsi="Garamond"/>
        </w:rPr>
        <w:t xml:space="preserve">B. Grossman, </w:t>
      </w:r>
      <w:r w:rsidR="00E0391A">
        <w:rPr>
          <w:rFonts w:ascii="Garamond" w:hAnsi="Garamond"/>
          <w:i/>
          <w:iCs/>
        </w:rPr>
        <w:t>The Evolution of Equitable Distribution in New York</w:t>
      </w:r>
      <w:r w:rsidR="00E0391A">
        <w:rPr>
          <w:rFonts w:ascii="Garamond" w:hAnsi="Garamond"/>
        </w:rPr>
        <w:t xml:space="preserve">, </w:t>
      </w:r>
      <w:r w:rsidR="00500B10">
        <w:rPr>
          <w:rFonts w:ascii="Garamond" w:hAnsi="Garamond"/>
        </w:rPr>
        <w:t xml:space="preserve">62 </w:t>
      </w:r>
      <w:r w:rsidR="00500B10">
        <w:rPr>
          <w:rFonts w:ascii="Garamond" w:hAnsi="Garamond"/>
          <w:smallCaps/>
        </w:rPr>
        <w:t xml:space="preserve">NYU Annual Survey of American Law </w:t>
      </w:r>
      <w:r w:rsidR="00500B10">
        <w:rPr>
          <w:rFonts w:ascii="Garamond" w:hAnsi="Garamond"/>
        </w:rPr>
        <w:t>607), th</w:t>
      </w:r>
      <w:r w:rsidR="000A3C47">
        <w:rPr>
          <w:rFonts w:ascii="Garamond" w:hAnsi="Garamond"/>
        </w:rPr>
        <w:t xml:space="preserve">is change in the </w:t>
      </w:r>
      <w:r w:rsidR="00EE4786">
        <w:rPr>
          <w:rFonts w:ascii="Garamond" w:hAnsi="Garamond"/>
        </w:rPr>
        <w:t xml:space="preserve">law </w:t>
      </w:r>
      <w:r w:rsidR="009A513B">
        <w:rPr>
          <w:rFonts w:ascii="Garamond" w:hAnsi="Garamond"/>
        </w:rPr>
        <w:t>became an important step to recognizing marriage as an equal economic partnership</w:t>
      </w:r>
      <w:r w:rsidR="00BB5CC6">
        <w:rPr>
          <w:rFonts w:ascii="Garamond" w:hAnsi="Garamond"/>
        </w:rPr>
        <w:t xml:space="preserve">, a view of the institution that probably made it more </w:t>
      </w:r>
      <w:r w:rsidR="00071EE6">
        <w:rPr>
          <w:rFonts w:ascii="Garamond" w:hAnsi="Garamond"/>
        </w:rPr>
        <w:t xml:space="preserve">understandable to same-sex couples whose  lives did not conform to </w:t>
      </w:r>
      <w:r w:rsidR="007113A3">
        <w:rPr>
          <w:rFonts w:ascii="Garamond" w:hAnsi="Garamond"/>
        </w:rPr>
        <w:t xml:space="preserve">ideas of marriage rooted in </w:t>
      </w:r>
      <w:r w:rsidR="00682423">
        <w:rPr>
          <w:rFonts w:ascii="Garamond" w:hAnsi="Garamond"/>
        </w:rPr>
        <w:t>coverture</w:t>
      </w:r>
      <w:r w:rsidR="007113A3">
        <w:rPr>
          <w:rFonts w:ascii="Garamond" w:hAnsi="Garamond"/>
        </w:rPr>
        <w:t xml:space="preserve">. </w:t>
      </w:r>
    </w:p>
    <w:p w14:paraId="00637E95" w14:textId="7A20D93F" w:rsidR="00C862E2" w:rsidRDefault="00C862E2" w:rsidP="00615498">
      <w:pPr>
        <w:pStyle w:val="NoSpacing"/>
        <w:numPr>
          <w:ilvl w:val="2"/>
          <w:numId w:val="1"/>
        </w:numPr>
        <w:spacing w:before="160"/>
        <w:contextualSpacing w:val="0"/>
        <w:rPr>
          <w:rFonts w:ascii="Garamond" w:hAnsi="Garamond"/>
        </w:rPr>
      </w:pPr>
      <w:r>
        <w:rPr>
          <w:rFonts w:ascii="Garamond" w:hAnsi="Garamond"/>
        </w:rPr>
        <w:t>Second, in 1997 EPTL 5-1</w:t>
      </w:r>
      <w:r w:rsidR="00C77DE1">
        <w:rPr>
          <w:rFonts w:ascii="Garamond" w:hAnsi="Garamond"/>
        </w:rPr>
        <w:t>.1-A was enacted</w:t>
      </w:r>
      <w:r w:rsidR="003A51BF">
        <w:rPr>
          <w:rFonts w:ascii="Garamond" w:hAnsi="Garamond"/>
        </w:rPr>
        <w:t xml:space="preserve">, requiring that the surviving spouse’s elective share be held outright, rather than in trust. </w:t>
      </w:r>
    </w:p>
    <w:p w14:paraId="7B9A7C91" w14:textId="0C6B875F" w:rsidR="00F522A8" w:rsidRPr="00EB11BA" w:rsidRDefault="00F522A8" w:rsidP="00F522A8">
      <w:pPr>
        <w:pStyle w:val="NoSpacing"/>
        <w:numPr>
          <w:ilvl w:val="3"/>
          <w:numId w:val="1"/>
        </w:numPr>
        <w:spacing w:before="160"/>
        <w:contextualSpacing w:val="0"/>
        <w:rPr>
          <w:rFonts w:ascii="Garamond" w:hAnsi="Garamond"/>
        </w:rPr>
      </w:pPr>
      <w:r>
        <w:rPr>
          <w:rFonts w:ascii="Garamond" w:hAnsi="Garamond"/>
        </w:rPr>
        <w:t xml:space="preserve">The elective share trust was a feature of the first elective statute </w:t>
      </w:r>
      <w:r w:rsidR="001B7D52">
        <w:rPr>
          <w:rFonts w:ascii="Garamond" w:hAnsi="Garamond"/>
        </w:rPr>
        <w:t xml:space="preserve">which became effective </w:t>
      </w:r>
      <w:r w:rsidR="00EB11BA">
        <w:rPr>
          <w:rFonts w:ascii="Garamond" w:hAnsi="Garamond"/>
        </w:rPr>
        <w:t xml:space="preserve">on September 1, </w:t>
      </w:r>
      <w:r w:rsidR="001B7D52">
        <w:rPr>
          <w:rFonts w:ascii="Garamond" w:hAnsi="Garamond"/>
        </w:rPr>
        <w:t xml:space="preserve">1930 (former Decedent Estate Law </w:t>
      </w:r>
      <w:r w:rsidR="001B7D52" w:rsidRPr="00E17034">
        <w:rPr>
          <w:rFonts w:ascii="Garamond" w:hAnsi="Garamond" w:cs="Calibri"/>
        </w:rPr>
        <w:t>§</w:t>
      </w:r>
      <w:r w:rsidR="001B7D52">
        <w:rPr>
          <w:rFonts w:ascii="Garamond" w:hAnsi="Garamond" w:cs="Calibri"/>
        </w:rPr>
        <w:t xml:space="preserve"> 18).</w:t>
      </w:r>
      <w:r w:rsidR="006E6397">
        <w:rPr>
          <w:rFonts w:ascii="Garamond" w:hAnsi="Garamond" w:cs="Calibri"/>
        </w:rPr>
        <w:t xml:space="preserve"> Recommended by the Foley Commission, the legislation abolished </w:t>
      </w:r>
      <w:r w:rsidR="006E6397">
        <w:rPr>
          <w:rFonts w:ascii="Garamond" w:hAnsi="Garamond" w:cs="Calibri"/>
        </w:rPr>
        <w:lastRenderedPageBreak/>
        <w:t xml:space="preserve">dower and curtesy </w:t>
      </w:r>
      <w:r w:rsidR="00D1105B">
        <w:rPr>
          <w:rFonts w:ascii="Garamond" w:hAnsi="Garamond" w:cs="Calibri"/>
        </w:rPr>
        <w:t>and</w:t>
      </w:r>
      <w:r w:rsidR="006E6397">
        <w:rPr>
          <w:rFonts w:ascii="Garamond" w:hAnsi="Garamond" w:cs="Calibri"/>
        </w:rPr>
        <w:t xml:space="preserve"> the distinctions between </w:t>
      </w:r>
      <w:r w:rsidR="00A64D69">
        <w:rPr>
          <w:rFonts w:ascii="Garamond" w:hAnsi="Garamond" w:cs="Calibri"/>
        </w:rPr>
        <w:t xml:space="preserve">the descent of </w:t>
      </w:r>
      <w:r w:rsidR="006E6397">
        <w:rPr>
          <w:rFonts w:ascii="Garamond" w:hAnsi="Garamond" w:cs="Calibri"/>
        </w:rPr>
        <w:t xml:space="preserve">real </w:t>
      </w:r>
      <w:r w:rsidR="00A64D69">
        <w:rPr>
          <w:rFonts w:ascii="Garamond" w:hAnsi="Garamond" w:cs="Calibri"/>
        </w:rPr>
        <w:t xml:space="preserve">property </w:t>
      </w:r>
      <w:r w:rsidR="006E6397">
        <w:rPr>
          <w:rFonts w:ascii="Garamond" w:hAnsi="Garamond" w:cs="Calibri"/>
        </w:rPr>
        <w:t xml:space="preserve">and </w:t>
      </w:r>
      <w:r w:rsidR="00A64D69">
        <w:rPr>
          <w:rFonts w:ascii="Garamond" w:hAnsi="Garamond" w:cs="Calibri"/>
        </w:rPr>
        <w:t xml:space="preserve">the distribution of </w:t>
      </w:r>
      <w:r w:rsidR="006E6397">
        <w:rPr>
          <w:rFonts w:ascii="Garamond" w:hAnsi="Garamond" w:cs="Calibri"/>
        </w:rPr>
        <w:t>personal property</w:t>
      </w:r>
      <w:r w:rsidR="00A64D69">
        <w:rPr>
          <w:rFonts w:ascii="Garamond" w:hAnsi="Garamond" w:cs="Calibri"/>
        </w:rPr>
        <w:t xml:space="preserve"> in intestacy.</w:t>
      </w:r>
      <w:r w:rsidR="00756447">
        <w:rPr>
          <w:rFonts w:ascii="Garamond" w:hAnsi="Garamond" w:cs="Calibri"/>
        </w:rPr>
        <w:t xml:space="preserve"> (Under prior law, </w:t>
      </w:r>
      <w:r w:rsidR="0026531B">
        <w:rPr>
          <w:rFonts w:ascii="Garamond" w:hAnsi="Garamond" w:cs="Calibri"/>
        </w:rPr>
        <w:t>the real property of a marri</w:t>
      </w:r>
      <w:r w:rsidR="00EB11BA">
        <w:rPr>
          <w:rFonts w:ascii="Garamond" w:hAnsi="Garamond" w:cs="Calibri"/>
        </w:rPr>
        <w:t>ed</w:t>
      </w:r>
      <w:r w:rsidR="0026531B">
        <w:rPr>
          <w:rFonts w:ascii="Garamond" w:hAnsi="Garamond" w:cs="Calibri"/>
        </w:rPr>
        <w:t xml:space="preserve"> decedent did not descend to the </w:t>
      </w:r>
      <w:r w:rsidR="00EB11BA">
        <w:rPr>
          <w:rFonts w:ascii="Garamond" w:hAnsi="Garamond" w:cs="Calibri"/>
        </w:rPr>
        <w:t>surviving spouse.)</w:t>
      </w:r>
    </w:p>
    <w:p w14:paraId="3023BC4A" w14:textId="20E294DC" w:rsidR="00EB11BA" w:rsidRDefault="00EB11BA" w:rsidP="00EB11BA">
      <w:pPr>
        <w:pStyle w:val="NoSpacing"/>
        <w:numPr>
          <w:ilvl w:val="3"/>
          <w:numId w:val="1"/>
        </w:numPr>
        <w:spacing w:before="160"/>
        <w:contextualSpacing w:val="0"/>
        <w:rPr>
          <w:rFonts w:ascii="Garamond" w:hAnsi="Garamond"/>
        </w:rPr>
      </w:pPr>
      <w:r>
        <w:rPr>
          <w:rFonts w:ascii="Garamond" w:hAnsi="Garamond" w:cs="Calibri"/>
        </w:rPr>
        <w:t xml:space="preserve">The </w:t>
      </w:r>
      <w:r>
        <w:rPr>
          <w:rFonts w:ascii="Garamond" w:hAnsi="Garamond"/>
        </w:rPr>
        <w:t xml:space="preserve">Bennett Commission was the </w:t>
      </w:r>
      <w:r w:rsidR="00D8505F">
        <w:rPr>
          <w:rFonts w:ascii="Garamond" w:hAnsi="Garamond"/>
        </w:rPr>
        <w:t xml:space="preserve">next source of changes to the elective share statute. The legislation recommended by the Commission </w:t>
      </w:r>
      <w:r w:rsidR="002176D9">
        <w:rPr>
          <w:rFonts w:ascii="Garamond" w:hAnsi="Garamond"/>
        </w:rPr>
        <w:t xml:space="preserve">expanded the pool of property subject to the right of election to certain “testamentary substitutes” </w:t>
      </w:r>
      <w:r w:rsidR="00DE01C0">
        <w:rPr>
          <w:rFonts w:ascii="Garamond" w:hAnsi="Garamond"/>
        </w:rPr>
        <w:t xml:space="preserve">in addition to the deceased spouse’s probate estate, effective September 1, 1967. </w:t>
      </w:r>
    </w:p>
    <w:p w14:paraId="5797D421" w14:textId="67987EC1" w:rsidR="00CA6D14" w:rsidRDefault="00CA6D14" w:rsidP="00EB11BA">
      <w:pPr>
        <w:pStyle w:val="NoSpacing"/>
        <w:numPr>
          <w:ilvl w:val="3"/>
          <w:numId w:val="1"/>
        </w:numPr>
        <w:spacing w:before="160"/>
        <w:contextualSpacing w:val="0"/>
        <w:rPr>
          <w:rFonts w:ascii="Garamond" w:hAnsi="Garamond"/>
        </w:rPr>
      </w:pPr>
      <w:r>
        <w:rPr>
          <w:rFonts w:ascii="Garamond" w:hAnsi="Garamond"/>
        </w:rPr>
        <w:t xml:space="preserve">In 1992 legislation </w:t>
      </w:r>
      <w:r w:rsidR="00050C6F">
        <w:rPr>
          <w:rFonts w:ascii="Garamond" w:hAnsi="Garamond"/>
        </w:rPr>
        <w:t>recommended by the EPTL Advisory Committee enacted EPTL 5-1.1-A</w:t>
      </w:r>
      <w:r w:rsidR="00093F6A">
        <w:rPr>
          <w:rFonts w:ascii="Garamond" w:hAnsi="Garamond"/>
        </w:rPr>
        <w:t xml:space="preserve">. </w:t>
      </w:r>
      <w:r w:rsidR="00566C7A">
        <w:rPr>
          <w:rFonts w:ascii="Garamond" w:hAnsi="Garamond"/>
        </w:rPr>
        <w:t xml:space="preserve">(L. 1992 c. </w:t>
      </w:r>
      <w:r w:rsidR="00C24C3C">
        <w:rPr>
          <w:rFonts w:ascii="Garamond" w:hAnsi="Garamond"/>
        </w:rPr>
        <w:t xml:space="preserve">595, </w:t>
      </w:r>
      <w:r w:rsidR="00C24C3C" w:rsidRPr="00E17034">
        <w:rPr>
          <w:rFonts w:ascii="Garamond" w:hAnsi="Garamond" w:cs="Calibri"/>
        </w:rPr>
        <w:t>§</w:t>
      </w:r>
      <w:r w:rsidR="00C24C3C">
        <w:rPr>
          <w:rFonts w:ascii="Garamond" w:hAnsi="Garamond" w:cs="Calibri"/>
        </w:rPr>
        <w:t xml:space="preserve"> 10) </w:t>
      </w:r>
      <w:r w:rsidR="00093F6A">
        <w:rPr>
          <w:rFonts w:ascii="Garamond" w:hAnsi="Garamond"/>
        </w:rPr>
        <w:t>The new statute expanded the list of testamentary substitutes (</w:t>
      </w:r>
      <w:r w:rsidR="004302E4">
        <w:rPr>
          <w:rFonts w:ascii="Garamond" w:hAnsi="Garamond"/>
        </w:rPr>
        <w:t>although not as much as the Committee advised—</w:t>
      </w:r>
      <w:r w:rsidR="003B5E8B">
        <w:rPr>
          <w:rFonts w:ascii="Garamond" w:hAnsi="Garamond"/>
        </w:rPr>
        <w:t>the legislature removed life insurance policies from the list), and made the elective share</w:t>
      </w:r>
      <w:r w:rsidR="00D77E8C">
        <w:rPr>
          <w:rFonts w:ascii="Garamond" w:hAnsi="Garamond"/>
        </w:rPr>
        <w:t xml:space="preserve"> a pecuniary amount equal to one-third of the “net estate”</w:t>
      </w:r>
      <w:r w:rsidR="00A6781B">
        <w:rPr>
          <w:rFonts w:ascii="Garamond" w:hAnsi="Garamond"/>
        </w:rPr>
        <w:t xml:space="preserve"> whether the decedent was survived by issue or not (under prior law, the </w:t>
      </w:r>
      <w:r w:rsidR="006D10CB">
        <w:rPr>
          <w:rFonts w:ascii="Garamond" w:hAnsi="Garamond"/>
        </w:rPr>
        <w:t>fraction</w:t>
      </w:r>
      <w:r w:rsidR="00A6781B">
        <w:rPr>
          <w:rFonts w:ascii="Garamond" w:hAnsi="Garamond"/>
        </w:rPr>
        <w:t xml:space="preserve"> was </w:t>
      </w:r>
      <w:r w:rsidR="00905805">
        <w:rPr>
          <w:rFonts w:ascii="Garamond" w:hAnsi="Garamond"/>
        </w:rPr>
        <w:t xml:space="preserve">one-third </w:t>
      </w:r>
      <w:r w:rsidR="006D10CB">
        <w:rPr>
          <w:rFonts w:ascii="Garamond" w:hAnsi="Garamond"/>
        </w:rPr>
        <w:t>if the decedent was survived by issue and one-half if not).</w:t>
      </w:r>
      <w:r w:rsidR="00C24C3C">
        <w:rPr>
          <w:rFonts w:ascii="Garamond" w:hAnsi="Garamond"/>
        </w:rPr>
        <w:t xml:space="preserve"> The legislation also abolished the </w:t>
      </w:r>
      <w:r w:rsidR="000E15D6">
        <w:rPr>
          <w:rFonts w:ascii="Garamond" w:hAnsi="Garamond"/>
        </w:rPr>
        <w:t xml:space="preserve">elective share trust and required that the surviving spouse own the elective share outright. </w:t>
      </w:r>
    </w:p>
    <w:p w14:paraId="31E8FF06" w14:textId="21570EE8" w:rsidR="00417095" w:rsidRDefault="008F764D" w:rsidP="00EB11BA">
      <w:pPr>
        <w:pStyle w:val="NoSpacing"/>
        <w:numPr>
          <w:ilvl w:val="3"/>
          <w:numId w:val="1"/>
        </w:numPr>
        <w:spacing w:before="160"/>
        <w:contextualSpacing w:val="0"/>
        <w:rPr>
          <w:rFonts w:ascii="Garamond" w:hAnsi="Garamond"/>
        </w:rPr>
      </w:pPr>
      <w:r>
        <w:rPr>
          <w:rFonts w:ascii="Garamond" w:hAnsi="Garamond"/>
        </w:rPr>
        <w:t>The 1992 changes were a compromise.  On the one hand, the requirement that the elective share be owned outright by the surviving spouse is related to the idea of marriage as an equal economic partnership</w:t>
      </w:r>
      <w:r w:rsidR="00C62C1F">
        <w:rPr>
          <w:rFonts w:ascii="Garamond" w:hAnsi="Garamond"/>
        </w:rPr>
        <w:t>, but if that policy were to be</w:t>
      </w:r>
      <w:r w:rsidR="00466763">
        <w:rPr>
          <w:rFonts w:ascii="Garamond" w:hAnsi="Garamond"/>
        </w:rPr>
        <w:t xml:space="preserve"> fully reflected in the statute</w:t>
      </w:r>
      <w:r w:rsidR="00C62C1F">
        <w:rPr>
          <w:rFonts w:ascii="Garamond" w:hAnsi="Garamond"/>
        </w:rPr>
        <w:t>, the elective share amount presumably would be one-half.</w:t>
      </w:r>
      <w:r w:rsidR="007B5B26">
        <w:rPr>
          <w:rFonts w:ascii="Garamond" w:hAnsi="Garamond"/>
        </w:rPr>
        <w:t xml:space="preserve"> </w:t>
      </w:r>
    </w:p>
    <w:p w14:paraId="2A7AE708" w14:textId="06548E0D" w:rsidR="003B4277" w:rsidRDefault="007B33CC" w:rsidP="00EB11BA">
      <w:pPr>
        <w:pStyle w:val="NoSpacing"/>
        <w:numPr>
          <w:ilvl w:val="3"/>
          <w:numId w:val="1"/>
        </w:numPr>
        <w:spacing w:before="160"/>
        <w:contextualSpacing w:val="0"/>
        <w:rPr>
          <w:rFonts w:ascii="Garamond" w:hAnsi="Garamond"/>
        </w:rPr>
      </w:pPr>
      <w:r>
        <w:rPr>
          <w:rFonts w:ascii="Garamond" w:hAnsi="Garamond"/>
        </w:rPr>
        <w:t>The requirement that the elective share be owned outright, of course, means that a QTIP trust, no matter how large its corpus</w:t>
      </w:r>
      <w:r w:rsidR="00A65874">
        <w:rPr>
          <w:rFonts w:ascii="Garamond" w:hAnsi="Garamond"/>
        </w:rPr>
        <w:t>,</w:t>
      </w:r>
      <w:r>
        <w:rPr>
          <w:rFonts w:ascii="Garamond" w:hAnsi="Garamond"/>
        </w:rPr>
        <w:t xml:space="preserve"> ca</w:t>
      </w:r>
      <w:r w:rsidR="00A65874">
        <w:rPr>
          <w:rFonts w:ascii="Garamond" w:hAnsi="Garamond"/>
        </w:rPr>
        <w:t>nnot satisfy the elective share</w:t>
      </w:r>
      <w:r w:rsidR="00B9735F">
        <w:rPr>
          <w:rFonts w:ascii="Garamond" w:hAnsi="Garamond"/>
        </w:rPr>
        <w:t xml:space="preserve">. </w:t>
      </w:r>
      <w:r w:rsidR="009A267B">
        <w:rPr>
          <w:rFonts w:ascii="Garamond" w:hAnsi="Garamond"/>
        </w:rPr>
        <w:t>T</w:t>
      </w:r>
      <w:r w:rsidR="00FA3480">
        <w:rPr>
          <w:rFonts w:ascii="Garamond" w:hAnsi="Garamond"/>
        </w:rPr>
        <w:t>he QTIP trust was created</w:t>
      </w:r>
      <w:r w:rsidR="0077661D">
        <w:rPr>
          <w:rFonts w:ascii="Garamond" w:hAnsi="Garamond"/>
        </w:rPr>
        <w:t xml:space="preserve"> in 1981</w:t>
      </w:r>
      <w:r w:rsidR="00FA3480">
        <w:rPr>
          <w:rFonts w:ascii="Garamond" w:hAnsi="Garamond"/>
        </w:rPr>
        <w:t xml:space="preserve">, at least in part, to allow the estate of the first spouse to die to take advantage of the unlimited marital deduction enacted </w:t>
      </w:r>
      <w:r w:rsidR="0077661D">
        <w:rPr>
          <w:rFonts w:ascii="Garamond" w:hAnsi="Garamond"/>
        </w:rPr>
        <w:t>the same year</w:t>
      </w:r>
      <w:r w:rsidR="00F44FF6">
        <w:rPr>
          <w:rFonts w:ascii="Garamond" w:hAnsi="Garamond"/>
        </w:rPr>
        <w:t xml:space="preserve"> (</w:t>
      </w:r>
      <w:r w:rsidR="003A2F1D">
        <w:rPr>
          <w:rFonts w:ascii="Garamond" w:hAnsi="Garamond"/>
        </w:rPr>
        <w:t>P.L. 97-34, “The Economic Recovery Tax Act</w:t>
      </w:r>
      <w:r w:rsidR="00356202">
        <w:rPr>
          <w:rFonts w:ascii="Garamond" w:hAnsi="Garamond"/>
        </w:rPr>
        <w:t>”</w:t>
      </w:r>
      <w:r w:rsidR="0077661D">
        <w:rPr>
          <w:rFonts w:ascii="Garamond" w:hAnsi="Garamond"/>
        </w:rPr>
        <w:t xml:space="preserve">) without giving the surviving spouse control over </w:t>
      </w:r>
      <w:r w:rsidR="007E7D4B">
        <w:rPr>
          <w:rFonts w:ascii="Garamond" w:hAnsi="Garamond"/>
        </w:rPr>
        <w:t xml:space="preserve">enjoyment of the property after the surviving spouse’s death. </w:t>
      </w:r>
    </w:p>
    <w:p w14:paraId="7011EB7C" w14:textId="676E00C6" w:rsidR="007B33CC" w:rsidRPr="00EB11BA" w:rsidRDefault="003B4277" w:rsidP="00EB11BA">
      <w:pPr>
        <w:pStyle w:val="NoSpacing"/>
        <w:numPr>
          <w:ilvl w:val="3"/>
          <w:numId w:val="1"/>
        </w:numPr>
        <w:spacing w:before="160"/>
        <w:contextualSpacing w:val="0"/>
        <w:rPr>
          <w:rFonts w:ascii="Garamond" w:hAnsi="Garamond"/>
        </w:rPr>
      </w:pPr>
      <w:r>
        <w:rPr>
          <w:rFonts w:ascii="Garamond" w:hAnsi="Garamond"/>
        </w:rPr>
        <w:t xml:space="preserve">This disjunct made pre- and post-nuptial agreements even more important, especially </w:t>
      </w:r>
      <w:r w:rsidR="0017517B">
        <w:rPr>
          <w:rFonts w:ascii="Garamond" w:hAnsi="Garamond"/>
        </w:rPr>
        <w:t>in</w:t>
      </w:r>
      <w:r>
        <w:rPr>
          <w:rFonts w:ascii="Garamond" w:hAnsi="Garamond"/>
        </w:rPr>
        <w:t xml:space="preserve"> second and subsequent marriages.</w:t>
      </w:r>
      <w:r w:rsidR="0077661D">
        <w:rPr>
          <w:rFonts w:ascii="Garamond" w:hAnsi="Garamond"/>
        </w:rPr>
        <w:t xml:space="preserve"> </w:t>
      </w:r>
      <w:r w:rsidR="008A0333">
        <w:rPr>
          <w:rFonts w:ascii="Garamond" w:hAnsi="Garamond"/>
        </w:rPr>
        <w:t xml:space="preserve">In 1998, the Court of Appeals decision in </w:t>
      </w:r>
      <w:r w:rsidR="008A0333">
        <w:rPr>
          <w:rFonts w:ascii="Garamond" w:hAnsi="Garamond"/>
          <w:i/>
          <w:iCs/>
        </w:rPr>
        <w:t>Matter of Greiff</w:t>
      </w:r>
      <w:r w:rsidR="008A0333">
        <w:rPr>
          <w:rFonts w:ascii="Garamond" w:hAnsi="Garamond"/>
        </w:rPr>
        <w:t xml:space="preserve">, </w:t>
      </w:r>
      <w:r w:rsidR="00373A1F" w:rsidRPr="00373A1F">
        <w:rPr>
          <w:rFonts w:ascii="Garamond" w:hAnsi="Garamond"/>
        </w:rPr>
        <w:t xml:space="preserve"> 92 N.Y.2d 341, 680 N.Y.S.2d 894, 703 N.E.2d 752 (1998)</w:t>
      </w:r>
      <w:r w:rsidR="00701651">
        <w:rPr>
          <w:rFonts w:ascii="Garamond" w:hAnsi="Garamond"/>
        </w:rPr>
        <w:t xml:space="preserve"> made it possible for a surviving spouse to put the burden of </w:t>
      </w:r>
      <w:r w:rsidR="005942D4">
        <w:rPr>
          <w:rFonts w:ascii="Garamond" w:hAnsi="Garamond"/>
        </w:rPr>
        <w:t xml:space="preserve">persuasion </w:t>
      </w:r>
      <w:r w:rsidR="00812C67">
        <w:rPr>
          <w:rFonts w:ascii="Garamond" w:hAnsi="Garamond"/>
        </w:rPr>
        <w:t xml:space="preserve">of the legality </w:t>
      </w:r>
      <w:r w:rsidR="00B50988">
        <w:rPr>
          <w:rFonts w:ascii="Garamond" w:hAnsi="Garamond"/>
        </w:rPr>
        <w:t xml:space="preserve">and enforceability of a pre-nuptial agreement on the estate of the deceased spouse </w:t>
      </w:r>
      <w:r w:rsidR="00EC1E25">
        <w:rPr>
          <w:rFonts w:ascii="Garamond" w:hAnsi="Garamond"/>
        </w:rPr>
        <w:t xml:space="preserve">by showing by a preponderance of the evidence </w:t>
      </w:r>
      <w:r w:rsidR="003731C2">
        <w:rPr>
          <w:rFonts w:ascii="Garamond" w:hAnsi="Garamond"/>
        </w:rPr>
        <w:t>“</w:t>
      </w:r>
      <w:r w:rsidR="000C547A">
        <w:rPr>
          <w:rFonts w:ascii="Garamond" w:hAnsi="Garamond"/>
        </w:rPr>
        <w:t xml:space="preserve">that the premarital relationship </w:t>
      </w:r>
      <w:r w:rsidR="003731C2">
        <w:rPr>
          <w:rFonts w:ascii="Garamond" w:hAnsi="Garamond"/>
        </w:rPr>
        <w:t xml:space="preserve">between the contracting individuals </w:t>
      </w:r>
      <w:r w:rsidR="003403A7">
        <w:rPr>
          <w:rFonts w:ascii="Garamond" w:hAnsi="Garamond"/>
        </w:rPr>
        <w:t>manifested ‘probable’ undue and unfair advantage.”</w:t>
      </w:r>
      <w:r w:rsidR="003A0634">
        <w:rPr>
          <w:rFonts w:ascii="Garamond" w:hAnsi="Garamond"/>
        </w:rPr>
        <w:t xml:space="preserve"> While the decision in </w:t>
      </w:r>
      <w:r w:rsidR="00682423">
        <w:rPr>
          <w:rFonts w:ascii="Garamond" w:hAnsi="Garamond"/>
          <w:i/>
          <w:iCs/>
        </w:rPr>
        <w:t>Greiff</w:t>
      </w:r>
      <w:r w:rsidR="0012179E">
        <w:rPr>
          <w:rFonts w:ascii="Garamond" w:hAnsi="Garamond"/>
          <w:i/>
          <w:iCs/>
        </w:rPr>
        <w:t xml:space="preserve"> </w:t>
      </w:r>
      <w:r w:rsidR="0012179E">
        <w:rPr>
          <w:rFonts w:ascii="Garamond" w:hAnsi="Garamond"/>
        </w:rPr>
        <w:t>caused</w:t>
      </w:r>
      <w:r w:rsidR="003A0634">
        <w:rPr>
          <w:rFonts w:ascii="Garamond" w:hAnsi="Garamond"/>
        </w:rPr>
        <w:t xml:space="preserve"> a good deal of consternation at first, it seems to have shaped </w:t>
      </w:r>
      <w:r w:rsidR="00381E7A">
        <w:rPr>
          <w:rFonts w:ascii="Garamond" w:hAnsi="Garamond"/>
        </w:rPr>
        <w:t>practice in ways that try to</w:t>
      </w:r>
      <w:r w:rsidR="001C4FFE">
        <w:rPr>
          <w:rFonts w:ascii="Garamond" w:hAnsi="Garamond"/>
        </w:rPr>
        <w:t xml:space="preserve"> negate that “undue and unfair advantage” the opinion mentions.  For example, leaving sufficient time before the date of marriage to allow the parties to </w:t>
      </w:r>
      <w:r w:rsidR="00A42627">
        <w:rPr>
          <w:rFonts w:ascii="Garamond" w:hAnsi="Garamond"/>
        </w:rPr>
        <w:t xml:space="preserve">truly examine the agreement, </w:t>
      </w:r>
      <w:r w:rsidR="0012179E">
        <w:rPr>
          <w:rFonts w:ascii="Garamond" w:hAnsi="Garamond"/>
        </w:rPr>
        <w:t>ensuring</w:t>
      </w:r>
      <w:r w:rsidR="00A42627">
        <w:rPr>
          <w:rFonts w:ascii="Garamond" w:hAnsi="Garamond"/>
        </w:rPr>
        <w:t xml:space="preserve"> that both parties have counsel of their own choosing, and that if one party has much more wealth than the other, that the wealthier party pay attorney for the other</w:t>
      </w:r>
      <w:r w:rsidR="0076187E">
        <w:rPr>
          <w:rFonts w:ascii="Garamond" w:hAnsi="Garamond"/>
        </w:rPr>
        <w:t xml:space="preserve"> party. </w:t>
      </w:r>
    </w:p>
    <w:p w14:paraId="4BE1F93D" w14:textId="1A34795B" w:rsidR="000F12BB" w:rsidRDefault="000F3431" w:rsidP="00637866">
      <w:pPr>
        <w:pStyle w:val="NoSpacing"/>
        <w:numPr>
          <w:ilvl w:val="1"/>
          <w:numId w:val="1"/>
        </w:numPr>
        <w:spacing w:before="160"/>
        <w:contextualSpacing w:val="0"/>
        <w:rPr>
          <w:rFonts w:ascii="Garamond" w:hAnsi="Garamond"/>
        </w:rPr>
      </w:pPr>
      <w:r>
        <w:rPr>
          <w:rFonts w:ascii="Garamond" w:hAnsi="Garamond"/>
        </w:rPr>
        <w:lastRenderedPageBreak/>
        <w:t>Parentage</w:t>
      </w:r>
      <w:r w:rsidR="00E41891">
        <w:rPr>
          <w:rFonts w:ascii="Garamond" w:hAnsi="Garamond"/>
        </w:rPr>
        <w:t xml:space="preserve"> </w:t>
      </w:r>
    </w:p>
    <w:p w14:paraId="22FE8A6D" w14:textId="7C90CA4E" w:rsidR="007C3A2F" w:rsidRDefault="007C3A2F" w:rsidP="007C3A2F">
      <w:pPr>
        <w:pStyle w:val="NoSpacing"/>
        <w:numPr>
          <w:ilvl w:val="2"/>
          <w:numId w:val="1"/>
        </w:numPr>
        <w:spacing w:before="160"/>
        <w:contextualSpacing w:val="0"/>
        <w:rPr>
          <w:rFonts w:ascii="Garamond" w:hAnsi="Garamond"/>
        </w:rPr>
      </w:pPr>
      <w:r>
        <w:rPr>
          <w:rFonts w:ascii="Garamond" w:hAnsi="Garamond"/>
        </w:rPr>
        <w:t>Non-marital children</w:t>
      </w:r>
    </w:p>
    <w:p w14:paraId="44888DA0" w14:textId="494608B3" w:rsidR="005B4E1A" w:rsidRDefault="0003645C" w:rsidP="005B4E1A">
      <w:pPr>
        <w:pStyle w:val="NoSpacing"/>
        <w:numPr>
          <w:ilvl w:val="3"/>
          <w:numId w:val="1"/>
        </w:numPr>
        <w:spacing w:before="160"/>
        <w:contextualSpacing w:val="0"/>
        <w:rPr>
          <w:rFonts w:ascii="Garamond" w:hAnsi="Garamond"/>
        </w:rPr>
      </w:pPr>
      <w:r>
        <w:rPr>
          <w:rFonts w:ascii="Garamond" w:hAnsi="Garamond"/>
        </w:rPr>
        <w:t xml:space="preserve">Since </w:t>
      </w:r>
      <w:r w:rsidR="00FD7E9A">
        <w:rPr>
          <w:rFonts w:ascii="Garamond" w:hAnsi="Garamond"/>
        </w:rPr>
        <w:t xml:space="preserve">1987, EPTL 4-1.2 has recognized the </w:t>
      </w:r>
      <w:r w:rsidR="00BA76D5">
        <w:rPr>
          <w:rFonts w:ascii="Garamond" w:hAnsi="Garamond"/>
        </w:rPr>
        <w:t>use of genetic testing to prove parentage</w:t>
      </w:r>
      <w:r w:rsidR="000237C5">
        <w:rPr>
          <w:rFonts w:ascii="Garamond" w:hAnsi="Garamond"/>
        </w:rPr>
        <w:t xml:space="preserve"> and since </w:t>
      </w:r>
      <w:r w:rsidR="001C17B9">
        <w:rPr>
          <w:rFonts w:ascii="Garamond" w:hAnsi="Garamond"/>
        </w:rPr>
        <w:t xml:space="preserve">2010 </w:t>
      </w:r>
      <w:r w:rsidR="003C24D0">
        <w:rPr>
          <w:rFonts w:ascii="Garamond" w:hAnsi="Garamond"/>
        </w:rPr>
        <w:t>the results of “a genetic marker test” alone are sufficient to prove parentage (EPTL 4-1.2</w:t>
      </w:r>
      <w:r w:rsidR="00F70A33">
        <w:rPr>
          <w:rFonts w:ascii="Garamond" w:hAnsi="Garamond"/>
        </w:rPr>
        <w:t>(a)(2)(</w:t>
      </w:r>
      <w:r w:rsidR="001F5537">
        <w:rPr>
          <w:rFonts w:ascii="Garamond" w:hAnsi="Garamond"/>
        </w:rPr>
        <w:t>C</w:t>
      </w:r>
      <w:r w:rsidR="00F70A33">
        <w:rPr>
          <w:rFonts w:ascii="Garamond" w:hAnsi="Garamond"/>
        </w:rPr>
        <w:t>)</w:t>
      </w:r>
      <w:r w:rsidR="001F5537">
        <w:rPr>
          <w:rFonts w:ascii="Garamond" w:hAnsi="Garamond"/>
        </w:rPr>
        <w:t xml:space="preserve">(i) as amended by L. 2010, c. 64). </w:t>
      </w:r>
    </w:p>
    <w:p w14:paraId="3AC8D204" w14:textId="1B294A06" w:rsidR="00C53892" w:rsidRDefault="00D8797B" w:rsidP="005B4E1A">
      <w:pPr>
        <w:pStyle w:val="NoSpacing"/>
        <w:numPr>
          <w:ilvl w:val="3"/>
          <w:numId w:val="1"/>
        </w:numPr>
        <w:spacing w:before="160"/>
        <w:contextualSpacing w:val="0"/>
        <w:rPr>
          <w:rFonts w:ascii="Garamond" w:hAnsi="Garamond"/>
        </w:rPr>
      </w:pPr>
      <w:r>
        <w:rPr>
          <w:rFonts w:ascii="Garamond" w:hAnsi="Garamond"/>
        </w:rPr>
        <w:t xml:space="preserve">Forty years ago, the maternal </w:t>
      </w:r>
      <w:r w:rsidR="00386E59">
        <w:rPr>
          <w:rFonts w:ascii="Garamond" w:hAnsi="Garamond"/>
        </w:rPr>
        <w:t>genetic lineage</w:t>
      </w:r>
      <w:r>
        <w:rPr>
          <w:rFonts w:ascii="Garamond" w:hAnsi="Garamond"/>
        </w:rPr>
        <w:t xml:space="preserve"> of a child was certain</w:t>
      </w:r>
      <w:r w:rsidR="00386E59">
        <w:rPr>
          <w:rFonts w:ascii="Garamond" w:hAnsi="Garamond"/>
        </w:rPr>
        <w:t xml:space="preserve">—the child </w:t>
      </w:r>
      <w:r w:rsidR="003C3C52">
        <w:rPr>
          <w:rFonts w:ascii="Garamond" w:hAnsi="Garamond"/>
        </w:rPr>
        <w:t>was conceived through fertilization of an ovum of the female who gave birth</w:t>
      </w:r>
      <w:r w:rsidR="004700BF">
        <w:rPr>
          <w:rFonts w:ascii="Garamond" w:hAnsi="Garamond"/>
        </w:rPr>
        <w:t xml:space="preserve">, although as early as the mid-1970s it appears that </w:t>
      </w:r>
      <w:r w:rsidR="000448DA">
        <w:rPr>
          <w:rFonts w:ascii="Garamond" w:hAnsi="Garamond"/>
        </w:rPr>
        <w:t xml:space="preserve">surrogacy contracts providing that the </w:t>
      </w:r>
      <w:r w:rsidR="00D2019A">
        <w:rPr>
          <w:rFonts w:ascii="Garamond" w:hAnsi="Garamond"/>
        </w:rPr>
        <w:t>child would be the child of someone other than the female who gave birth and who was the genetic parent of the child</w:t>
      </w:r>
      <w:r w:rsidR="00B96638">
        <w:rPr>
          <w:rFonts w:ascii="Garamond" w:hAnsi="Garamond"/>
        </w:rPr>
        <w:t xml:space="preserve"> did exist</w:t>
      </w:r>
      <w:r w:rsidR="00D2019A">
        <w:rPr>
          <w:rFonts w:ascii="Garamond" w:hAnsi="Garamond"/>
        </w:rPr>
        <w:t>.</w:t>
      </w:r>
    </w:p>
    <w:p w14:paraId="331C8A19" w14:textId="7809982E" w:rsidR="00FB7CC0" w:rsidRDefault="003B7CE9" w:rsidP="005B4E1A">
      <w:pPr>
        <w:pStyle w:val="NoSpacing"/>
        <w:numPr>
          <w:ilvl w:val="3"/>
          <w:numId w:val="1"/>
        </w:numPr>
        <w:spacing w:before="160"/>
        <w:contextualSpacing w:val="0"/>
        <w:rPr>
          <w:rFonts w:ascii="Garamond" w:hAnsi="Garamond"/>
        </w:rPr>
      </w:pPr>
      <w:r>
        <w:rPr>
          <w:rFonts w:ascii="Garamond" w:hAnsi="Garamond"/>
        </w:rPr>
        <w:t>According to the website of Worldwide Surrogacy</w:t>
      </w:r>
      <w:r w:rsidR="00906C1D">
        <w:rPr>
          <w:rFonts w:ascii="Garamond" w:hAnsi="Garamond"/>
        </w:rPr>
        <w:t xml:space="preserve"> (</w:t>
      </w:r>
      <w:hyperlink r:id="rId8" w:history="1">
        <w:r w:rsidR="00906C1D" w:rsidRPr="00D64747">
          <w:rPr>
            <w:rStyle w:val="Hyperlink"/>
            <w:rFonts w:ascii="Garamond" w:hAnsi="Garamond"/>
          </w:rPr>
          <w:t>https://www.worldwidesurrogacy.org/blog/the-history-of-surrogacy-a-legal-timeline</w:t>
        </w:r>
      </w:hyperlink>
      <w:r w:rsidR="00906C1D">
        <w:rPr>
          <w:rFonts w:ascii="Garamond" w:hAnsi="Garamond"/>
        </w:rPr>
        <w:t xml:space="preserve">) the first </w:t>
      </w:r>
      <w:r w:rsidR="00962F1B">
        <w:rPr>
          <w:rFonts w:ascii="Garamond" w:hAnsi="Garamond"/>
        </w:rPr>
        <w:t xml:space="preserve">successful </w:t>
      </w:r>
      <w:r w:rsidR="00906C1D">
        <w:rPr>
          <w:rFonts w:ascii="Garamond" w:hAnsi="Garamond"/>
        </w:rPr>
        <w:t xml:space="preserve">gestational surrogacy </w:t>
      </w:r>
      <w:r w:rsidR="00962F1B">
        <w:rPr>
          <w:rFonts w:ascii="Garamond" w:hAnsi="Garamond"/>
        </w:rPr>
        <w:t>took place in 1985</w:t>
      </w:r>
      <w:r w:rsidR="005A3C70">
        <w:rPr>
          <w:rFonts w:ascii="Garamond" w:hAnsi="Garamond"/>
        </w:rPr>
        <w:t xml:space="preserve">. </w:t>
      </w:r>
      <w:r w:rsidR="006C6890">
        <w:rPr>
          <w:rFonts w:ascii="Garamond" w:hAnsi="Garamond"/>
        </w:rPr>
        <w:t>Today</w:t>
      </w:r>
      <w:r w:rsidR="005A3C70">
        <w:rPr>
          <w:rFonts w:ascii="Garamond" w:hAnsi="Garamond"/>
        </w:rPr>
        <w:t xml:space="preserve"> there is no certain</w:t>
      </w:r>
      <w:r w:rsidR="00A76475">
        <w:rPr>
          <w:rFonts w:ascii="Garamond" w:hAnsi="Garamond"/>
        </w:rPr>
        <w:t>t</w:t>
      </w:r>
      <w:r w:rsidR="005A3C70">
        <w:rPr>
          <w:rFonts w:ascii="Garamond" w:hAnsi="Garamond"/>
        </w:rPr>
        <w:t>y that the female who gives birth is genetically related to the child</w:t>
      </w:r>
      <w:r w:rsidR="00F86B5E">
        <w:rPr>
          <w:rFonts w:ascii="Garamond" w:hAnsi="Garamond"/>
        </w:rPr>
        <w:t>.</w:t>
      </w:r>
    </w:p>
    <w:p w14:paraId="2893FA62" w14:textId="668C50E0" w:rsidR="00640681" w:rsidRPr="00A333CD" w:rsidRDefault="00640681" w:rsidP="005B4E1A">
      <w:pPr>
        <w:pStyle w:val="NoSpacing"/>
        <w:numPr>
          <w:ilvl w:val="3"/>
          <w:numId w:val="1"/>
        </w:numPr>
        <w:spacing w:before="160"/>
        <w:contextualSpacing w:val="0"/>
        <w:rPr>
          <w:rFonts w:ascii="Garamond" w:hAnsi="Garamond"/>
        </w:rPr>
      </w:pPr>
      <w:r>
        <w:rPr>
          <w:rFonts w:ascii="Garamond" w:hAnsi="Garamond"/>
        </w:rPr>
        <w:t>This observation leads to a discussion of assisted reproduction.</w:t>
      </w:r>
    </w:p>
    <w:p w14:paraId="71A1E4DF" w14:textId="2C6F8311" w:rsidR="000F3431" w:rsidRDefault="001815C6" w:rsidP="00637866">
      <w:pPr>
        <w:pStyle w:val="NoSpacing"/>
        <w:numPr>
          <w:ilvl w:val="2"/>
          <w:numId w:val="1"/>
        </w:numPr>
        <w:spacing w:before="160"/>
        <w:contextualSpacing w:val="0"/>
        <w:rPr>
          <w:rFonts w:ascii="Garamond" w:hAnsi="Garamond"/>
        </w:rPr>
      </w:pPr>
      <w:r>
        <w:rPr>
          <w:rFonts w:ascii="Garamond" w:hAnsi="Garamond"/>
        </w:rPr>
        <w:t xml:space="preserve">Assisted </w:t>
      </w:r>
      <w:r w:rsidR="00A76475">
        <w:rPr>
          <w:rFonts w:ascii="Garamond" w:hAnsi="Garamond"/>
        </w:rPr>
        <w:t>reproduction.</w:t>
      </w:r>
    </w:p>
    <w:p w14:paraId="42D01DDA" w14:textId="05F0BA93" w:rsidR="009357F1" w:rsidRDefault="009357F1" w:rsidP="009357F1">
      <w:pPr>
        <w:pStyle w:val="NoSpacing"/>
        <w:numPr>
          <w:ilvl w:val="3"/>
          <w:numId w:val="1"/>
        </w:numPr>
        <w:spacing w:before="160"/>
        <w:contextualSpacing w:val="0"/>
        <w:rPr>
          <w:rFonts w:ascii="Garamond" w:hAnsi="Garamond"/>
        </w:rPr>
      </w:pPr>
      <w:r>
        <w:rPr>
          <w:rFonts w:ascii="Garamond" w:hAnsi="Garamond"/>
        </w:rPr>
        <w:t xml:space="preserve">Assisted reproduction is now defined in the </w:t>
      </w:r>
      <w:r w:rsidR="006F275B">
        <w:rPr>
          <w:rFonts w:ascii="Garamond" w:hAnsi="Garamond"/>
        </w:rPr>
        <w:t xml:space="preserve">Child-Parent Security Act (L. 2020, c.56 pt. L) (“CPSA”) as </w:t>
      </w:r>
      <w:r w:rsidR="000D2031">
        <w:rPr>
          <w:rFonts w:ascii="Garamond" w:hAnsi="Garamond"/>
        </w:rPr>
        <w:t>a method of causing pregnancy other than sexual intercourse</w:t>
      </w:r>
      <w:r w:rsidR="00C669CA">
        <w:rPr>
          <w:rFonts w:ascii="Garamond" w:hAnsi="Garamond"/>
        </w:rPr>
        <w:t xml:space="preserve"> (Family Ct. Act </w:t>
      </w:r>
      <w:r w:rsidR="005002C6" w:rsidRPr="004F40A8">
        <w:rPr>
          <w:rFonts w:ascii="Garamond" w:hAnsi="Garamond" w:cs="Calibri"/>
        </w:rPr>
        <w:t>§</w:t>
      </w:r>
      <w:r w:rsidR="005002C6">
        <w:rPr>
          <w:rFonts w:ascii="Garamond" w:hAnsi="Garamond"/>
        </w:rPr>
        <w:t xml:space="preserve"> 581-102(a))</w:t>
      </w:r>
    </w:p>
    <w:p w14:paraId="7E09F7DF" w14:textId="36C27088" w:rsidR="00815A84" w:rsidRDefault="00192C2F" w:rsidP="00815A84">
      <w:pPr>
        <w:pStyle w:val="NoSpacing"/>
        <w:numPr>
          <w:ilvl w:val="3"/>
          <w:numId w:val="1"/>
        </w:numPr>
        <w:spacing w:before="160"/>
        <w:contextualSpacing w:val="0"/>
        <w:rPr>
          <w:rFonts w:ascii="Garamond" w:hAnsi="Garamond"/>
        </w:rPr>
      </w:pPr>
      <w:r>
        <w:rPr>
          <w:rFonts w:ascii="Garamond" w:hAnsi="Garamond"/>
        </w:rPr>
        <w:t xml:space="preserve">The CPSA </w:t>
      </w:r>
      <w:r w:rsidR="004B3392">
        <w:rPr>
          <w:rFonts w:ascii="Garamond" w:hAnsi="Garamond"/>
        </w:rPr>
        <w:t xml:space="preserve">generally </w:t>
      </w:r>
      <w:r w:rsidR="00406921">
        <w:rPr>
          <w:rFonts w:ascii="Garamond" w:hAnsi="Garamond"/>
        </w:rPr>
        <w:t>make</w:t>
      </w:r>
      <w:r w:rsidR="00DF3F5D">
        <w:rPr>
          <w:rFonts w:ascii="Garamond" w:hAnsi="Garamond"/>
        </w:rPr>
        <w:t>s</w:t>
      </w:r>
      <w:r w:rsidR="00406921">
        <w:rPr>
          <w:rFonts w:ascii="Garamond" w:hAnsi="Garamond"/>
        </w:rPr>
        <w:t xml:space="preserve"> the parentage of a child of assisted reproduction a matter of intent</w:t>
      </w:r>
      <w:r w:rsidR="005002C6">
        <w:rPr>
          <w:rFonts w:ascii="Garamond" w:hAnsi="Garamond"/>
        </w:rPr>
        <w:t>. While status as a donor, that is someone who contributes genetic material without the intent to be a par</w:t>
      </w:r>
      <w:r w:rsidR="00934E51">
        <w:rPr>
          <w:rFonts w:ascii="Garamond" w:hAnsi="Garamond"/>
        </w:rPr>
        <w:t>en</w:t>
      </w:r>
      <w:r w:rsidR="005002C6">
        <w:rPr>
          <w:rFonts w:ascii="Garamond" w:hAnsi="Garamond"/>
        </w:rPr>
        <w:t xml:space="preserve">t of the child </w:t>
      </w:r>
      <w:r w:rsidR="00352E00">
        <w:rPr>
          <w:rFonts w:ascii="Garamond" w:hAnsi="Garamond"/>
        </w:rPr>
        <w:t>conceived from that genetic material, or status as an intended parent, that is someone who intends to be the parent of a child of assisted reproduction can</w:t>
      </w:r>
      <w:r w:rsidR="00F110A8">
        <w:rPr>
          <w:rFonts w:ascii="Garamond" w:hAnsi="Garamond"/>
        </w:rPr>
        <w:t xml:space="preserve"> be shown by written consent, the statute allows </w:t>
      </w:r>
      <w:r w:rsidR="00FD0A80">
        <w:rPr>
          <w:rFonts w:ascii="Garamond" w:hAnsi="Garamond"/>
        </w:rPr>
        <w:t xml:space="preserve">a court to find </w:t>
      </w:r>
      <w:r w:rsidR="00346C6C">
        <w:rPr>
          <w:rFonts w:ascii="Garamond" w:hAnsi="Garamond"/>
        </w:rPr>
        <w:t xml:space="preserve">requisite intent by “clear and convincing evidence.” </w:t>
      </w:r>
      <w:r w:rsidR="00406921">
        <w:rPr>
          <w:rFonts w:ascii="Garamond" w:hAnsi="Garamond"/>
        </w:rPr>
        <w:t xml:space="preserve"> </w:t>
      </w:r>
      <w:r w:rsidR="00453BD1">
        <w:rPr>
          <w:rFonts w:ascii="Garamond" w:hAnsi="Garamond"/>
        </w:rPr>
        <w:t xml:space="preserve">(Family Ct. Act </w:t>
      </w:r>
      <w:r w:rsidR="00C06E21" w:rsidRPr="004F40A8">
        <w:rPr>
          <w:rFonts w:ascii="Garamond" w:hAnsi="Garamond" w:cs="Calibri"/>
        </w:rPr>
        <w:t>§</w:t>
      </w:r>
      <w:r w:rsidR="00C06E21" w:rsidRPr="004F40A8">
        <w:rPr>
          <w:rFonts w:ascii="Garamond" w:hAnsi="Garamond"/>
        </w:rPr>
        <w:t xml:space="preserve"> 581-202(d)</w:t>
      </w:r>
      <w:r w:rsidR="004F40A8" w:rsidRPr="004F40A8">
        <w:rPr>
          <w:rFonts w:ascii="Garamond" w:hAnsi="Garamond"/>
        </w:rPr>
        <w:t xml:space="preserve"> (donor)</w:t>
      </w:r>
      <w:r w:rsidR="003D15A3" w:rsidRPr="004F40A8">
        <w:rPr>
          <w:rFonts w:ascii="Garamond" w:hAnsi="Garamond"/>
        </w:rPr>
        <w:t xml:space="preserve">; </w:t>
      </w:r>
      <w:r w:rsidR="003D15A3" w:rsidRPr="004F40A8">
        <w:rPr>
          <w:rFonts w:ascii="Garamond" w:hAnsi="Garamond" w:cs="Calibri"/>
        </w:rPr>
        <w:t>§</w:t>
      </w:r>
      <w:r w:rsidR="003D15A3" w:rsidRPr="004F40A8">
        <w:rPr>
          <w:rFonts w:ascii="Garamond" w:hAnsi="Garamond"/>
        </w:rPr>
        <w:t xml:space="preserve"> 581-304(c)</w:t>
      </w:r>
      <w:r w:rsidR="006B2C61" w:rsidRPr="004F40A8">
        <w:rPr>
          <w:rFonts w:ascii="Garamond" w:hAnsi="Garamond"/>
        </w:rPr>
        <w:t xml:space="preserve"> (</w:t>
      </w:r>
      <w:r w:rsidR="003D15A3" w:rsidRPr="004F40A8">
        <w:rPr>
          <w:rFonts w:ascii="Garamond" w:hAnsi="Garamond"/>
        </w:rPr>
        <w:t>intended parent</w:t>
      </w:r>
      <w:r w:rsidR="006B2C61" w:rsidRPr="004F40A8">
        <w:rPr>
          <w:rFonts w:ascii="Garamond" w:hAnsi="Garamond"/>
        </w:rPr>
        <w:t>)</w:t>
      </w:r>
    </w:p>
    <w:p w14:paraId="543D847C" w14:textId="484287A6" w:rsidR="00E9771B" w:rsidRPr="004F40A8" w:rsidRDefault="0097286E" w:rsidP="00815A84">
      <w:pPr>
        <w:pStyle w:val="NoSpacing"/>
        <w:numPr>
          <w:ilvl w:val="3"/>
          <w:numId w:val="1"/>
        </w:numPr>
        <w:spacing w:before="160"/>
        <w:contextualSpacing w:val="0"/>
        <w:rPr>
          <w:rFonts w:ascii="Garamond" w:hAnsi="Garamond"/>
        </w:rPr>
      </w:pPr>
      <w:r>
        <w:rPr>
          <w:rFonts w:ascii="Garamond" w:hAnsi="Garamond"/>
        </w:rPr>
        <w:t xml:space="preserve">Parentage now can be completely decoupled </w:t>
      </w:r>
      <w:r w:rsidR="004F30C9">
        <w:rPr>
          <w:rFonts w:ascii="Garamond" w:hAnsi="Garamond"/>
        </w:rPr>
        <w:t xml:space="preserve">from reproduction in a way that adoption </w:t>
      </w:r>
      <w:r w:rsidR="009C3235">
        <w:rPr>
          <w:rFonts w:ascii="Garamond" w:hAnsi="Garamond"/>
        </w:rPr>
        <w:t xml:space="preserve">does not make possible.  Adoption </w:t>
      </w:r>
      <w:r w:rsidR="00196DC5">
        <w:rPr>
          <w:rFonts w:ascii="Garamond" w:hAnsi="Garamond"/>
        </w:rPr>
        <w:t>changes</w:t>
      </w:r>
      <w:r w:rsidR="009C3235">
        <w:rPr>
          <w:rFonts w:ascii="Garamond" w:hAnsi="Garamond"/>
        </w:rPr>
        <w:t xml:space="preserve"> existing parentage; the rules </w:t>
      </w:r>
      <w:r w:rsidR="00517832">
        <w:rPr>
          <w:rFonts w:ascii="Garamond" w:hAnsi="Garamond"/>
        </w:rPr>
        <w:t xml:space="preserve">governing assisted reproduction make intent, or perhaps choice, the determining factor from the </w:t>
      </w:r>
      <w:r w:rsidR="002676A3">
        <w:rPr>
          <w:rFonts w:ascii="Garamond" w:hAnsi="Garamond"/>
        </w:rPr>
        <w:t xml:space="preserve">child’s birth. </w:t>
      </w:r>
    </w:p>
    <w:p w14:paraId="4BFA4453" w14:textId="4C8D81CF" w:rsidR="003B4798" w:rsidRPr="00613159" w:rsidRDefault="002676A3" w:rsidP="00815A84">
      <w:pPr>
        <w:pStyle w:val="NoSpacing"/>
        <w:numPr>
          <w:ilvl w:val="3"/>
          <w:numId w:val="1"/>
        </w:numPr>
        <w:spacing w:before="160"/>
        <w:contextualSpacing w:val="0"/>
        <w:rPr>
          <w:rFonts w:ascii="Garamond" w:hAnsi="Garamond"/>
        </w:rPr>
      </w:pPr>
      <w:r>
        <w:rPr>
          <w:rFonts w:ascii="Garamond" w:hAnsi="Garamond"/>
        </w:rPr>
        <w:t xml:space="preserve">The CPSA also amended Dom. Rel. Law </w:t>
      </w:r>
      <w:r w:rsidR="00F52B95" w:rsidRPr="004F40A8">
        <w:rPr>
          <w:rFonts w:ascii="Garamond" w:hAnsi="Garamond" w:cs="Calibri"/>
        </w:rPr>
        <w:t>§</w:t>
      </w:r>
      <w:r w:rsidR="00F52B95">
        <w:rPr>
          <w:rFonts w:ascii="Garamond" w:hAnsi="Garamond" w:cs="Calibri"/>
        </w:rPr>
        <w:t xml:space="preserve"> 122 to prohibit only “ge</w:t>
      </w:r>
      <w:r w:rsidR="00FB01E6">
        <w:rPr>
          <w:rFonts w:ascii="Garamond" w:hAnsi="Garamond" w:cs="Calibri"/>
        </w:rPr>
        <w:t>netic surrogate parenting agreements,” defin</w:t>
      </w:r>
      <w:r w:rsidR="00223643">
        <w:rPr>
          <w:rFonts w:ascii="Garamond" w:hAnsi="Garamond" w:cs="Calibri"/>
        </w:rPr>
        <w:t xml:space="preserve">ed in </w:t>
      </w:r>
      <w:r w:rsidR="00223643">
        <w:rPr>
          <w:rFonts w:ascii="Garamond" w:hAnsi="Garamond"/>
        </w:rPr>
        <w:t xml:space="preserve">Dom. Rel. Law </w:t>
      </w:r>
      <w:r w:rsidR="00223643" w:rsidRPr="004F40A8">
        <w:rPr>
          <w:rFonts w:ascii="Garamond" w:hAnsi="Garamond" w:cs="Calibri"/>
        </w:rPr>
        <w:t>§</w:t>
      </w:r>
      <w:r w:rsidR="00223643">
        <w:rPr>
          <w:rFonts w:ascii="Garamond" w:hAnsi="Garamond" w:cs="Calibri"/>
        </w:rPr>
        <w:t xml:space="preserve"> 121 </w:t>
      </w:r>
      <w:r w:rsidR="00635AA4" w:rsidRPr="00635AA4">
        <w:rPr>
          <w:rFonts w:ascii="Garamond" w:hAnsi="Garamond" w:cs="Calibri"/>
        </w:rPr>
        <w:t xml:space="preserve">to be an oral or written agreement in which </w:t>
      </w:r>
      <w:r w:rsidR="002A5177">
        <w:rPr>
          <w:rFonts w:ascii="Garamond" w:hAnsi="Garamond" w:cs="Calibri"/>
        </w:rPr>
        <w:t xml:space="preserve">a </w:t>
      </w:r>
      <w:r w:rsidR="00635AA4" w:rsidRPr="00635AA4">
        <w:rPr>
          <w:rFonts w:ascii="Garamond" w:hAnsi="Garamond" w:cs="Calibri"/>
        </w:rPr>
        <w:t>“genetic surrogate,” in turn defined as a “person who gives birth to a child who is the person’s genetic child pursuant to a genetic surrogate parenting agreement,” agrees either to be inseminated with the sperm “of a person who is not their spouse or to be impregnated with an embryo that is the product of the genetic surrogate’s ovum fertilized with the sperm of a person who is not their spouse</w:t>
      </w:r>
      <w:r w:rsidR="00FE301A">
        <w:rPr>
          <w:rFonts w:ascii="Garamond" w:hAnsi="Garamond" w:cs="Calibri"/>
        </w:rPr>
        <w:t>”</w:t>
      </w:r>
      <w:r w:rsidR="00635AA4" w:rsidRPr="00635AA4">
        <w:rPr>
          <w:rFonts w:ascii="Garamond" w:hAnsi="Garamond" w:cs="Calibri"/>
        </w:rPr>
        <w:t xml:space="preserve"> and </w:t>
      </w:r>
      <w:r w:rsidR="00FE301A">
        <w:rPr>
          <w:rFonts w:ascii="Garamond" w:hAnsi="Garamond" w:cs="Calibri"/>
        </w:rPr>
        <w:t xml:space="preserve">by </w:t>
      </w:r>
      <w:r w:rsidR="00635AA4" w:rsidRPr="00635AA4">
        <w:rPr>
          <w:rFonts w:ascii="Garamond" w:hAnsi="Garamond" w:cs="Calibri"/>
        </w:rPr>
        <w:lastRenderedPageBreak/>
        <w:t>which the genetic surrogate agrees to surrender or consent to the adoption of the child born as a result of the insemination or impregnation. The prohibition on surrogate parenting contracts, therefore, now applies only to contracts in which the party who is giving birth is also genetically related to the child.</w:t>
      </w:r>
      <w:r w:rsidR="002A5177">
        <w:rPr>
          <w:rFonts w:ascii="Garamond" w:hAnsi="Garamond" w:cs="Calibri"/>
        </w:rPr>
        <w:t xml:space="preserve"> </w:t>
      </w:r>
    </w:p>
    <w:p w14:paraId="25725CC2" w14:textId="44A11DC4" w:rsidR="00613159" w:rsidRPr="001F57DB" w:rsidRDefault="00F77D74" w:rsidP="00815A84">
      <w:pPr>
        <w:pStyle w:val="NoSpacing"/>
        <w:numPr>
          <w:ilvl w:val="3"/>
          <w:numId w:val="1"/>
        </w:numPr>
        <w:spacing w:before="160"/>
        <w:contextualSpacing w:val="0"/>
        <w:rPr>
          <w:rFonts w:ascii="Garamond" w:hAnsi="Garamond"/>
        </w:rPr>
      </w:pPr>
      <w:r>
        <w:rPr>
          <w:rFonts w:ascii="Garamond" w:hAnsi="Garamond" w:cs="Calibri"/>
        </w:rPr>
        <w:t>In 2014, EPTL 4-1.3 was enacted</w:t>
      </w:r>
      <w:r w:rsidR="00C22F34">
        <w:rPr>
          <w:rFonts w:ascii="Garamond" w:hAnsi="Garamond" w:cs="Calibri"/>
        </w:rPr>
        <w:t xml:space="preserve"> (L. 2014 c</w:t>
      </w:r>
      <w:r w:rsidR="0062145A">
        <w:rPr>
          <w:rFonts w:ascii="Garamond" w:hAnsi="Garamond" w:cs="Calibri"/>
        </w:rPr>
        <w:t xml:space="preserve">. </w:t>
      </w:r>
      <w:r w:rsidR="00C22F34">
        <w:rPr>
          <w:rFonts w:ascii="Garamond" w:hAnsi="Garamond" w:cs="Calibri"/>
        </w:rPr>
        <w:t>439</w:t>
      </w:r>
      <w:r w:rsidR="0062145A">
        <w:rPr>
          <w:rFonts w:ascii="Garamond" w:hAnsi="Garamond" w:cs="Calibri"/>
        </w:rPr>
        <w:t xml:space="preserve"> </w:t>
      </w:r>
      <w:r w:rsidR="0062145A" w:rsidRPr="004F40A8">
        <w:rPr>
          <w:rFonts w:ascii="Garamond" w:hAnsi="Garamond" w:cs="Calibri"/>
        </w:rPr>
        <w:t>§</w:t>
      </w:r>
      <w:r w:rsidR="0062145A">
        <w:rPr>
          <w:rFonts w:ascii="Garamond" w:hAnsi="Garamond" w:cs="Calibri"/>
        </w:rPr>
        <w:t xml:space="preserve">1) to </w:t>
      </w:r>
      <w:r w:rsidR="005225CF">
        <w:rPr>
          <w:rFonts w:ascii="Garamond" w:hAnsi="Garamond" w:cs="Calibri"/>
        </w:rPr>
        <w:t>provide rules for inheritance by child</w:t>
      </w:r>
      <w:r w:rsidR="008A1F8B">
        <w:rPr>
          <w:rFonts w:ascii="Garamond" w:hAnsi="Garamond" w:cs="Calibri"/>
        </w:rPr>
        <w:t xml:space="preserve">ren </w:t>
      </w:r>
      <w:r w:rsidR="005225CF">
        <w:rPr>
          <w:rFonts w:ascii="Garamond" w:hAnsi="Garamond" w:cs="Calibri"/>
        </w:rPr>
        <w:t xml:space="preserve">conceived after the death of an intended parent. </w:t>
      </w:r>
      <w:r w:rsidR="00D06023">
        <w:rPr>
          <w:rFonts w:ascii="Garamond" w:hAnsi="Garamond" w:cs="Calibri"/>
        </w:rPr>
        <w:t xml:space="preserve">The statute requires written consent to the use of a person’s genetic material after that person’s death if a child born from that material is to </w:t>
      </w:r>
      <w:r w:rsidR="003829DE">
        <w:rPr>
          <w:rFonts w:ascii="Garamond" w:hAnsi="Garamond" w:cs="Calibri"/>
        </w:rPr>
        <w:t xml:space="preserve">be child of that person. </w:t>
      </w:r>
      <w:r w:rsidR="004155DA">
        <w:rPr>
          <w:rFonts w:ascii="Garamond" w:hAnsi="Garamond" w:cs="Calibri"/>
        </w:rPr>
        <w:t xml:space="preserve">This requirement is in tension with the </w:t>
      </w:r>
      <w:r w:rsidR="006B630E">
        <w:rPr>
          <w:rFonts w:ascii="Garamond" w:hAnsi="Garamond" w:cs="Calibri"/>
        </w:rPr>
        <w:t>intent-based</w:t>
      </w:r>
      <w:r w:rsidR="004155DA">
        <w:rPr>
          <w:rFonts w:ascii="Garamond" w:hAnsi="Garamond" w:cs="Calibri"/>
        </w:rPr>
        <w:t xml:space="preserve"> approach of the CPSA</w:t>
      </w:r>
      <w:r w:rsidR="00DA67EB">
        <w:rPr>
          <w:rFonts w:ascii="Garamond" w:hAnsi="Garamond" w:cs="Calibri"/>
        </w:rPr>
        <w:t xml:space="preserve">. That approach </w:t>
      </w:r>
      <w:r w:rsidR="004155DA">
        <w:rPr>
          <w:rFonts w:ascii="Garamond" w:hAnsi="Garamond" w:cs="Calibri"/>
        </w:rPr>
        <w:t>has been followed in at least one posthumous reproduction case</w:t>
      </w:r>
      <w:r w:rsidR="00DA67EB">
        <w:rPr>
          <w:rFonts w:ascii="Garamond" w:hAnsi="Garamond" w:cs="Calibri"/>
        </w:rPr>
        <w:t xml:space="preserve"> decided before the enactment of the CPSA</w:t>
      </w:r>
      <w:r w:rsidR="004155DA">
        <w:rPr>
          <w:rFonts w:ascii="Garamond" w:hAnsi="Garamond" w:cs="Calibri"/>
        </w:rPr>
        <w:t xml:space="preserve">, </w:t>
      </w:r>
      <w:r w:rsidR="00F26067" w:rsidRPr="00F26067">
        <w:rPr>
          <w:rFonts w:ascii="Garamond" w:hAnsi="Garamond" w:cs="Calibri"/>
          <w:i/>
          <w:iCs/>
        </w:rPr>
        <w:t>Matter of Zhu</w:t>
      </w:r>
      <w:r w:rsidR="00F26067" w:rsidRPr="00F26067">
        <w:rPr>
          <w:rFonts w:ascii="Garamond" w:hAnsi="Garamond" w:cs="Calibri"/>
        </w:rPr>
        <w:t>, 64 Misc.3d 280, 103 N.Y.S.3d 775 (Sup. Ct. Westchester County 2019).</w:t>
      </w:r>
      <w:r w:rsidR="005867F4">
        <w:rPr>
          <w:rFonts w:ascii="Garamond" w:hAnsi="Garamond" w:cs="Calibri"/>
        </w:rPr>
        <w:t xml:space="preserve"> </w:t>
      </w:r>
    </w:p>
    <w:p w14:paraId="3CD129A6" w14:textId="77777777" w:rsidR="00C65DEE" w:rsidRDefault="001F57DB" w:rsidP="001F57DB">
      <w:pPr>
        <w:pStyle w:val="NoSpacing"/>
        <w:spacing w:before="160"/>
        <w:ind w:left="2160"/>
        <w:contextualSpacing w:val="0"/>
        <w:rPr>
          <w:rFonts w:ascii="Garamond" w:hAnsi="Garamond"/>
        </w:rPr>
      </w:pPr>
      <w:r w:rsidRPr="001F57DB">
        <w:rPr>
          <w:rFonts w:ascii="Garamond" w:hAnsi="Garamond"/>
        </w:rPr>
        <w:t>The decedent was involved in a skiing accident which left him in a vegetative state without brain activity. Life was sustained by artificial means pending the donation of the decedent’s organs. On the morning of the day on which the decedent’s organs were to be donated, the decedent’s parents sought an order directing the hospital to collect the decedent’s sperm for future use in what the opinion describes as “third-party reproduction.” The court decided that absent a clear statutory direction governing the collection of genetic material in this situation, the authority of the decedent’s parents to donate the decedent’s organ under Public Health Law § 4301</w:t>
      </w:r>
      <w:r w:rsidR="00DD4D40">
        <w:rPr>
          <w:rFonts w:ascii="Garamond" w:hAnsi="Garamond"/>
        </w:rPr>
        <w:t>,</w:t>
      </w:r>
      <w:r w:rsidRPr="001F57DB">
        <w:rPr>
          <w:rFonts w:ascii="Garamond" w:hAnsi="Garamond"/>
        </w:rPr>
        <w:t xml:space="preserve"> the showing that the decedent had a strong attachment to family life and evidence of the decedent’s statements that he wished to be the father of “several children,” the court granted the order.</w:t>
      </w:r>
      <w:r w:rsidR="00DA67EB">
        <w:rPr>
          <w:rFonts w:ascii="Garamond" w:hAnsi="Garamond"/>
        </w:rPr>
        <w:t xml:space="preserve"> </w:t>
      </w:r>
      <w:r w:rsidR="00DA67EB" w:rsidRPr="00DA67EB">
        <w:rPr>
          <w:rFonts w:ascii="Garamond" w:hAnsi="Garamond"/>
        </w:rPr>
        <w:t xml:space="preserve">Assuming that the decedent’s sperm was successfully collected and proves viable, </w:t>
      </w:r>
      <w:r w:rsidR="006B630E" w:rsidRPr="00DA67EB">
        <w:rPr>
          <w:rFonts w:ascii="Garamond" w:hAnsi="Garamond"/>
        </w:rPr>
        <w:t>use</w:t>
      </w:r>
      <w:r w:rsidR="00DA67EB" w:rsidRPr="00DA67EB">
        <w:rPr>
          <w:rFonts w:ascii="Garamond" w:hAnsi="Garamond"/>
        </w:rPr>
        <w:t xml:space="preserve"> of the sperm for posthumous reproduction is not possible under </w:t>
      </w:r>
      <w:r w:rsidR="004F0F03">
        <w:rPr>
          <w:rFonts w:ascii="Garamond" w:hAnsi="Garamond"/>
        </w:rPr>
        <w:t>EPTL 4-1.3</w:t>
      </w:r>
      <w:r w:rsidR="00224746">
        <w:rPr>
          <w:rFonts w:ascii="Garamond" w:hAnsi="Garamond"/>
        </w:rPr>
        <w:t>(j)</w:t>
      </w:r>
      <w:r w:rsidR="00C65DEE">
        <w:rPr>
          <w:rFonts w:ascii="Garamond" w:hAnsi="Garamond"/>
        </w:rPr>
        <w:t>:</w:t>
      </w:r>
      <w:r w:rsidR="00224746">
        <w:rPr>
          <w:rFonts w:ascii="Garamond" w:hAnsi="Garamond"/>
        </w:rPr>
        <w:t xml:space="preserve"> </w:t>
      </w:r>
    </w:p>
    <w:p w14:paraId="775F86E2" w14:textId="57D2609C" w:rsidR="001F57DB" w:rsidRDefault="0082154D" w:rsidP="001F57DB">
      <w:pPr>
        <w:pStyle w:val="NoSpacing"/>
        <w:spacing w:before="160"/>
        <w:ind w:left="2160"/>
        <w:contextualSpacing w:val="0"/>
        <w:rPr>
          <w:rFonts w:ascii="Garamond" w:hAnsi="Garamond"/>
        </w:rPr>
      </w:pPr>
      <w:r w:rsidRPr="0082154D">
        <w:rPr>
          <w:rFonts w:ascii="Garamond" w:hAnsi="Garamond"/>
        </w:rPr>
        <w:t>The use of a genetic material after the death of the person providing such material is subject exclusively to the provisions of this section and to any valid and binding contractual agreement between such person and the facility providing storage of the genetic material and may not be the subject of a disposition in an instrument created by the person providing such material or by any other person</w:t>
      </w:r>
      <w:r w:rsidR="00DA67EB" w:rsidRPr="00DA67EB">
        <w:rPr>
          <w:rFonts w:ascii="Garamond" w:hAnsi="Garamond"/>
        </w:rPr>
        <w:t>.</w:t>
      </w:r>
    </w:p>
    <w:p w14:paraId="3B3959BA" w14:textId="3EBA0511" w:rsidR="001815C6" w:rsidRDefault="00102AED" w:rsidP="00637866">
      <w:pPr>
        <w:pStyle w:val="NoSpacing"/>
        <w:numPr>
          <w:ilvl w:val="2"/>
          <w:numId w:val="1"/>
        </w:numPr>
        <w:spacing w:before="160"/>
        <w:contextualSpacing w:val="0"/>
        <w:rPr>
          <w:rFonts w:ascii="Garamond" w:hAnsi="Garamond"/>
        </w:rPr>
      </w:pPr>
      <w:r>
        <w:rPr>
          <w:rFonts w:ascii="Garamond" w:hAnsi="Garamond"/>
        </w:rPr>
        <w:t>Beyond adoption</w:t>
      </w:r>
    </w:p>
    <w:p w14:paraId="55907D2E" w14:textId="770EBA47" w:rsidR="0067071D" w:rsidRDefault="0067071D" w:rsidP="0067071D">
      <w:pPr>
        <w:pStyle w:val="NoSpacing"/>
        <w:numPr>
          <w:ilvl w:val="3"/>
          <w:numId w:val="1"/>
        </w:numPr>
        <w:spacing w:before="160"/>
        <w:contextualSpacing w:val="0"/>
        <w:rPr>
          <w:rFonts w:ascii="Garamond" w:hAnsi="Garamond"/>
        </w:rPr>
      </w:pPr>
      <w:r>
        <w:rPr>
          <w:rFonts w:ascii="Garamond" w:hAnsi="Garamond"/>
        </w:rPr>
        <w:t>Adoption has long been part of New York law</w:t>
      </w:r>
      <w:r w:rsidR="00101EBD">
        <w:rPr>
          <w:rFonts w:ascii="Garamond" w:hAnsi="Garamond"/>
        </w:rPr>
        <w:t xml:space="preserve"> and in 1986 and 1987 Dom. R</w:t>
      </w:r>
      <w:r w:rsidR="007F3B06">
        <w:rPr>
          <w:rFonts w:ascii="Garamond" w:hAnsi="Garamond"/>
        </w:rPr>
        <w:t xml:space="preserve">el. Law </w:t>
      </w:r>
      <w:r w:rsidR="007F3B06" w:rsidRPr="001F57DB">
        <w:rPr>
          <w:rFonts w:ascii="Garamond" w:hAnsi="Garamond"/>
        </w:rPr>
        <w:t>§</w:t>
      </w:r>
      <w:r w:rsidR="007F3B06">
        <w:rPr>
          <w:rFonts w:ascii="Garamond" w:hAnsi="Garamond"/>
        </w:rPr>
        <w:t xml:space="preserve"> 117 was amended to allow </w:t>
      </w:r>
      <w:r w:rsidR="00525C84">
        <w:rPr>
          <w:rFonts w:ascii="Garamond" w:hAnsi="Garamond"/>
        </w:rPr>
        <w:t xml:space="preserve">persons adopted by </w:t>
      </w:r>
      <w:r w:rsidR="00D0373F">
        <w:rPr>
          <w:rFonts w:ascii="Garamond" w:hAnsi="Garamond"/>
        </w:rPr>
        <w:t xml:space="preserve">their </w:t>
      </w:r>
      <w:r w:rsidR="00525C84">
        <w:rPr>
          <w:rFonts w:ascii="Garamond" w:hAnsi="Garamond"/>
        </w:rPr>
        <w:t xml:space="preserve">grandparents or the descendants of </w:t>
      </w:r>
      <w:r w:rsidR="00D0373F">
        <w:rPr>
          <w:rFonts w:ascii="Garamond" w:hAnsi="Garamond"/>
        </w:rPr>
        <w:t xml:space="preserve">their </w:t>
      </w:r>
      <w:r w:rsidR="00525C84">
        <w:rPr>
          <w:rFonts w:ascii="Garamond" w:hAnsi="Garamond"/>
        </w:rPr>
        <w:t xml:space="preserve">grandparents to inherit and to take under governing instruments in their family relationships as they existed before </w:t>
      </w:r>
      <w:r w:rsidR="00D0373F">
        <w:rPr>
          <w:rFonts w:ascii="Garamond" w:hAnsi="Garamond"/>
        </w:rPr>
        <w:t xml:space="preserve">the </w:t>
      </w:r>
      <w:r w:rsidR="00525C84">
        <w:rPr>
          <w:rFonts w:ascii="Garamond" w:hAnsi="Garamond"/>
        </w:rPr>
        <w:t xml:space="preserve">adoption. </w:t>
      </w:r>
      <w:r w:rsidR="00A323BD">
        <w:rPr>
          <w:rFonts w:ascii="Garamond" w:hAnsi="Garamond"/>
        </w:rPr>
        <w:t xml:space="preserve">The </w:t>
      </w:r>
      <w:r w:rsidR="002A0E32">
        <w:rPr>
          <w:rFonts w:ascii="Garamond" w:hAnsi="Garamond"/>
        </w:rPr>
        <w:t xml:space="preserve">provision reflects </w:t>
      </w:r>
      <w:r w:rsidR="00780394">
        <w:rPr>
          <w:rFonts w:ascii="Garamond" w:hAnsi="Garamond"/>
        </w:rPr>
        <w:t xml:space="preserve">an assumption that adoption by </w:t>
      </w:r>
      <w:r w:rsidR="00346A76">
        <w:rPr>
          <w:rFonts w:ascii="Garamond" w:hAnsi="Garamond"/>
        </w:rPr>
        <w:t>a relative is not meant to sever the child from the previous family relationships</w:t>
      </w:r>
      <w:r w:rsidR="000760D3">
        <w:rPr>
          <w:rFonts w:ascii="Garamond" w:hAnsi="Garamond"/>
        </w:rPr>
        <w:t xml:space="preserve">.  </w:t>
      </w:r>
    </w:p>
    <w:p w14:paraId="2CDA9BA0" w14:textId="77777777" w:rsidR="000D2F1F" w:rsidRDefault="00D42EE2" w:rsidP="0067071D">
      <w:pPr>
        <w:pStyle w:val="NoSpacing"/>
        <w:numPr>
          <w:ilvl w:val="3"/>
          <w:numId w:val="1"/>
        </w:numPr>
        <w:spacing w:before="160"/>
        <w:contextualSpacing w:val="0"/>
        <w:rPr>
          <w:rFonts w:ascii="Garamond" w:hAnsi="Garamond"/>
        </w:rPr>
      </w:pPr>
      <w:r>
        <w:rPr>
          <w:rFonts w:ascii="Garamond" w:hAnsi="Garamond"/>
        </w:rPr>
        <w:t xml:space="preserve">Just as there is now </w:t>
      </w:r>
      <w:r w:rsidR="0018726E">
        <w:rPr>
          <w:rFonts w:ascii="Garamond" w:hAnsi="Garamond"/>
        </w:rPr>
        <w:t xml:space="preserve">under the CPSA </w:t>
      </w:r>
      <w:r>
        <w:rPr>
          <w:rFonts w:ascii="Garamond" w:hAnsi="Garamond"/>
        </w:rPr>
        <w:t>the possibility of parentage by intent in the conte</w:t>
      </w:r>
      <w:r w:rsidR="00782193">
        <w:rPr>
          <w:rFonts w:ascii="Garamond" w:hAnsi="Garamond"/>
        </w:rPr>
        <w:t xml:space="preserve">xt of children of assisted </w:t>
      </w:r>
      <w:r w:rsidR="0018726E">
        <w:rPr>
          <w:rFonts w:ascii="Garamond" w:hAnsi="Garamond"/>
        </w:rPr>
        <w:t xml:space="preserve">reproduction, New York decisional law now recognizes the possibility of parentage by intent </w:t>
      </w:r>
      <w:r w:rsidR="00B1427B">
        <w:rPr>
          <w:rFonts w:ascii="Garamond" w:hAnsi="Garamond"/>
        </w:rPr>
        <w:t xml:space="preserve">for some purposes. </w:t>
      </w:r>
    </w:p>
    <w:p w14:paraId="26373F83" w14:textId="3876C7C4" w:rsidR="000760D3" w:rsidRDefault="008B18C6" w:rsidP="0067071D">
      <w:pPr>
        <w:pStyle w:val="NoSpacing"/>
        <w:numPr>
          <w:ilvl w:val="3"/>
          <w:numId w:val="1"/>
        </w:numPr>
        <w:spacing w:before="160"/>
        <w:contextualSpacing w:val="0"/>
        <w:rPr>
          <w:rFonts w:ascii="Garamond" w:hAnsi="Garamond"/>
        </w:rPr>
      </w:pPr>
      <w:r>
        <w:rPr>
          <w:rFonts w:ascii="Garamond" w:hAnsi="Garamond"/>
        </w:rPr>
        <w:lastRenderedPageBreak/>
        <w:t xml:space="preserve">Until 2016, </w:t>
      </w:r>
      <w:r w:rsidR="00061A11" w:rsidRPr="00061A11">
        <w:rPr>
          <w:rFonts w:ascii="Garamond" w:hAnsi="Garamond"/>
        </w:rPr>
        <w:t xml:space="preserve">the law of New York set out in the decision by the Court of Appeals in </w:t>
      </w:r>
      <w:r w:rsidR="00061A11" w:rsidRPr="002C1309">
        <w:rPr>
          <w:rFonts w:ascii="Garamond" w:hAnsi="Garamond"/>
          <w:i/>
          <w:iCs/>
        </w:rPr>
        <w:t>Alison D. v. Virginia M</w:t>
      </w:r>
      <w:r w:rsidR="00061A11" w:rsidRPr="00061A11">
        <w:rPr>
          <w:rFonts w:ascii="Garamond" w:hAnsi="Garamond"/>
        </w:rPr>
        <w:t>.</w:t>
      </w:r>
      <w:r w:rsidR="002C1309">
        <w:rPr>
          <w:rFonts w:ascii="Garamond" w:hAnsi="Garamond"/>
        </w:rPr>
        <w:t>,</w:t>
      </w:r>
      <w:r w:rsidR="00942ED1">
        <w:rPr>
          <w:rFonts w:ascii="Garamond" w:hAnsi="Garamond"/>
        </w:rPr>
        <w:t xml:space="preserve"> </w:t>
      </w:r>
      <w:r w:rsidR="00942ED1" w:rsidRPr="00942ED1">
        <w:rPr>
          <w:rFonts w:ascii="Garamond" w:hAnsi="Garamond"/>
        </w:rPr>
        <w:t>77 N.Y.2d 651, 569 N.Y.S.2d 586, 572 N.E.2d 27 (1991)</w:t>
      </w:r>
      <w:r w:rsidR="00E0356A">
        <w:rPr>
          <w:rFonts w:ascii="Garamond" w:hAnsi="Garamond"/>
        </w:rPr>
        <w:t xml:space="preserve"> </w:t>
      </w:r>
      <w:r w:rsidR="00061A11" w:rsidRPr="00061A11">
        <w:rPr>
          <w:rFonts w:ascii="Garamond" w:hAnsi="Garamond"/>
        </w:rPr>
        <w:t>was clear: there are only way two ways to become a parent: birth and adoption. The majority opinion made it clear that acting like a parent did not make one a parent. While other jurisdictions began to recognize equitable or de fact parentage, New York courts adamantly refused to recognize parentage based on conduct (and the legislature had no appetite for dealing with the issue).</w:t>
      </w:r>
      <w:r w:rsidR="0018726E">
        <w:rPr>
          <w:rFonts w:ascii="Garamond" w:hAnsi="Garamond"/>
        </w:rPr>
        <w:t xml:space="preserve"> </w:t>
      </w:r>
    </w:p>
    <w:p w14:paraId="67C1BA7E" w14:textId="733C0505" w:rsidR="00D22D96" w:rsidRDefault="00D22D96" w:rsidP="0067071D">
      <w:pPr>
        <w:pStyle w:val="NoSpacing"/>
        <w:numPr>
          <w:ilvl w:val="3"/>
          <w:numId w:val="1"/>
        </w:numPr>
        <w:spacing w:before="160"/>
        <w:contextualSpacing w:val="0"/>
        <w:rPr>
          <w:rFonts w:ascii="Garamond" w:hAnsi="Garamond"/>
        </w:rPr>
      </w:pPr>
      <w:r w:rsidRPr="0016208C">
        <w:rPr>
          <w:rFonts w:ascii="Garamond" w:hAnsi="Garamond"/>
        </w:rPr>
        <w:t xml:space="preserve">In 2016 the court overruled </w:t>
      </w:r>
      <w:r w:rsidRPr="0016208C">
        <w:rPr>
          <w:rFonts w:ascii="Garamond" w:hAnsi="Garamond"/>
          <w:i/>
          <w:iCs/>
        </w:rPr>
        <w:t xml:space="preserve">Alison D. </w:t>
      </w:r>
      <w:r w:rsidRPr="0016208C">
        <w:rPr>
          <w:rFonts w:ascii="Garamond" w:hAnsi="Garamond"/>
        </w:rPr>
        <w:t xml:space="preserve">in </w:t>
      </w:r>
      <w:r w:rsidR="005E290C" w:rsidRPr="0016208C">
        <w:rPr>
          <w:rFonts w:ascii="Garamond" w:hAnsi="Garamond"/>
          <w:i/>
          <w:iCs/>
        </w:rPr>
        <w:t>Brooke S.B. v. Elizabeth A.C.C</w:t>
      </w:r>
      <w:r w:rsidR="0016208C" w:rsidRPr="0016208C">
        <w:rPr>
          <w:rFonts w:ascii="Garamond" w:hAnsi="Garamond"/>
          <w:i/>
          <w:iCs/>
        </w:rPr>
        <w:t>.</w:t>
      </w:r>
      <w:r w:rsidR="0016208C" w:rsidRPr="0016208C">
        <w:rPr>
          <w:rFonts w:ascii="Garamond" w:hAnsi="Garamond"/>
        </w:rPr>
        <w:t>, 28 N.Y.3d 1, 39 N.Y.S.3d 89, 61 N.E.3d 488 (2016)</w:t>
      </w:r>
      <w:r w:rsidR="00AC05F1">
        <w:rPr>
          <w:rFonts w:ascii="Garamond" w:hAnsi="Garamond"/>
        </w:rPr>
        <w:t xml:space="preserve"> and held that where there is clear and convincing proof </w:t>
      </w:r>
      <w:r w:rsidR="00E30A78" w:rsidRPr="00E30A78">
        <w:rPr>
          <w:rFonts w:ascii="Garamond" w:hAnsi="Garamond"/>
        </w:rPr>
        <w:t>of “a pre-conception agreement to conceive and raise a child as co-parents”</w:t>
      </w:r>
      <w:r w:rsidR="00E30A78">
        <w:rPr>
          <w:rFonts w:ascii="Garamond" w:hAnsi="Garamond"/>
        </w:rPr>
        <w:t xml:space="preserve"> the partner of the biological parent does have standing to seek visitation and custody under Dom. Rel. Law </w:t>
      </w:r>
      <w:r w:rsidR="00EE1BCC">
        <w:rPr>
          <w:rFonts w:ascii="Garamond" w:hAnsi="Garamond"/>
        </w:rPr>
        <w:t xml:space="preserve">§ 70 (and presumably has </w:t>
      </w:r>
      <w:r w:rsidR="000841F5">
        <w:rPr>
          <w:rFonts w:ascii="Garamond" w:hAnsi="Garamond"/>
        </w:rPr>
        <w:t>an obligation to support the child).</w:t>
      </w:r>
    </w:p>
    <w:p w14:paraId="3833AC3D" w14:textId="57FA322A" w:rsidR="00E37B36" w:rsidRPr="0016208C" w:rsidRDefault="00E37B36" w:rsidP="0067071D">
      <w:pPr>
        <w:pStyle w:val="NoSpacing"/>
        <w:numPr>
          <w:ilvl w:val="3"/>
          <w:numId w:val="1"/>
        </w:numPr>
        <w:spacing w:before="160"/>
        <w:contextualSpacing w:val="0"/>
        <w:rPr>
          <w:rFonts w:ascii="Garamond" w:hAnsi="Garamond"/>
        </w:rPr>
      </w:pPr>
      <w:r>
        <w:rPr>
          <w:rFonts w:ascii="Garamond" w:hAnsi="Garamond"/>
        </w:rPr>
        <w:t xml:space="preserve">This is not the same as “de facto parentage” which </w:t>
      </w:r>
      <w:r w:rsidR="004B7E7F">
        <w:rPr>
          <w:rFonts w:ascii="Garamond" w:hAnsi="Garamond"/>
        </w:rPr>
        <w:t xml:space="preserve">the law of a handful states, a number that is growing </w:t>
      </w:r>
      <w:r w:rsidR="00EF5D54">
        <w:rPr>
          <w:rFonts w:ascii="Garamond" w:hAnsi="Garamond"/>
        </w:rPr>
        <w:t xml:space="preserve">with </w:t>
      </w:r>
      <w:r w:rsidR="004B7E7F">
        <w:rPr>
          <w:rFonts w:ascii="Garamond" w:hAnsi="Garamond"/>
        </w:rPr>
        <w:t xml:space="preserve">the </w:t>
      </w:r>
      <w:r w:rsidR="00EF5D54">
        <w:rPr>
          <w:rFonts w:ascii="Garamond" w:hAnsi="Garamond"/>
        </w:rPr>
        <w:t xml:space="preserve">increasing </w:t>
      </w:r>
      <w:r w:rsidR="004B7E7F">
        <w:rPr>
          <w:rFonts w:ascii="Garamond" w:hAnsi="Garamond"/>
        </w:rPr>
        <w:t xml:space="preserve">adoption of the </w:t>
      </w:r>
      <w:r w:rsidR="00547585">
        <w:rPr>
          <w:rFonts w:ascii="Garamond" w:hAnsi="Garamond"/>
        </w:rPr>
        <w:t>new version of the Uniform Parentage Act (2017)</w:t>
      </w:r>
      <w:r w:rsidR="001D3B77">
        <w:rPr>
          <w:rFonts w:ascii="Garamond" w:hAnsi="Garamond"/>
        </w:rPr>
        <w:t xml:space="preserve"> (“UPA”)</w:t>
      </w:r>
      <w:r w:rsidR="00547585">
        <w:rPr>
          <w:rFonts w:ascii="Garamond" w:hAnsi="Garamond"/>
        </w:rPr>
        <w:t xml:space="preserve">. </w:t>
      </w:r>
      <w:r w:rsidR="00A41069" w:rsidRPr="00A41069">
        <w:rPr>
          <w:rFonts w:ascii="Garamond" w:hAnsi="Garamond"/>
        </w:rPr>
        <w:t xml:space="preserve">Under </w:t>
      </w:r>
      <w:r w:rsidR="001D3B77">
        <w:rPr>
          <w:rFonts w:ascii="Garamond" w:hAnsi="Garamond"/>
        </w:rPr>
        <w:t xml:space="preserve">UPA </w:t>
      </w:r>
      <w:r w:rsidR="00A41069" w:rsidRPr="00A41069">
        <w:rPr>
          <w:rFonts w:ascii="Garamond" w:hAnsi="Garamond"/>
        </w:rPr>
        <w:t xml:space="preserve">§ 609, an individual may be adjudicated the de facto parent of </w:t>
      </w:r>
      <w:r w:rsidR="00370CF5">
        <w:rPr>
          <w:rFonts w:ascii="Garamond" w:hAnsi="Garamond"/>
        </w:rPr>
        <w:t xml:space="preserve">a </w:t>
      </w:r>
      <w:r w:rsidR="00A41069" w:rsidRPr="00A41069">
        <w:rPr>
          <w:rFonts w:ascii="Garamond" w:hAnsi="Garamond"/>
        </w:rPr>
        <w:t xml:space="preserve">child if the court finds that there is proof by clear and convincing evidence of seven factors all related to acting like a parent, including undertaking full responsibility for the child, establishing “a bonded and dependent relationship” with the child, and that continuing the relationship is in the child’s best interest. </w:t>
      </w:r>
      <w:r w:rsidR="0061111A">
        <w:rPr>
          <w:rFonts w:ascii="Garamond" w:hAnsi="Garamond"/>
          <w:i/>
          <w:iCs/>
        </w:rPr>
        <w:t xml:space="preserve">See, e.g., </w:t>
      </w:r>
      <w:r w:rsidR="00561B79">
        <w:rPr>
          <w:rFonts w:ascii="Garamond" w:hAnsi="Garamond"/>
        </w:rPr>
        <w:t xml:space="preserve">Rev. Code Wash. </w:t>
      </w:r>
      <w:r w:rsidR="006C5A0F">
        <w:rPr>
          <w:rFonts w:ascii="Garamond" w:hAnsi="Garamond"/>
        </w:rPr>
        <w:t>26.26A.440;</w:t>
      </w:r>
      <w:r w:rsidR="00561B79">
        <w:rPr>
          <w:rFonts w:ascii="Garamond" w:hAnsi="Garamond"/>
          <w:i/>
          <w:iCs/>
        </w:rPr>
        <w:t xml:space="preserve"> </w:t>
      </w:r>
      <w:r w:rsidR="0029335E">
        <w:rPr>
          <w:rFonts w:ascii="Garamond" w:hAnsi="Garamond"/>
          <w:i/>
          <w:iCs/>
        </w:rPr>
        <w:t xml:space="preserve">Matter of J.L., </w:t>
      </w:r>
      <w:r w:rsidR="006A2972">
        <w:rPr>
          <w:rFonts w:ascii="Garamond" w:hAnsi="Garamond"/>
        </w:rPr>
        <w:t>23 Wash.App.2d 1029 (2022)</w:t>
      </w:r>
      <w:r w:rsidR="002239B1">
        <w:rPr>
          <w:rFonts w:ascii="Garamond" w:hAnsi="Garamond"/>
        </w:rPr>
        <w:t xml:space="preserve">; </w:t>
      </w:r>
      <w:r w:rsidR="002239B1">
        <w:rPr>
          <w:rFonts w:ascii="Garamond" w:hAnsi="Garamond"/>
          <w:i/>
          <w:iCs/>
        </w:rPr>
        <w:t>Matt</w:t>
      </w:r>
      <w:r w:rsidR="000A6B81">
        <w:rPr>
          <w:rFonts w:ascii="Garamond" w:hAnsi="Garamond"/>
          <w:i/>
          <w:iCs/>
        </w:rPr>
        <w:t>er</w:t>
      </w:r>
      <w:r w:rsidR="002239B1">
        <w:rPr>
          <w:rFonts w:ascii="Garamond" w:hAnsi="Garamond"/>
          <w:i/>
          <w:iCs/>
        </w:rPr>
        <w:t xml:space="preserve"> of L.J.M.</w:t>
      </w:r>
      <w:r w:rsidR="000A6B81">
        <w:rPr>
          <w:rFonts w:ascii="Garamond" w:hAnsi="Garamond"/>
          <w:i/>
          <w:iCs/>
        </w:rPr>
        <w:t xml:space="preserve">, </w:t>
      </w:r>
      <w:r w:rsidR="000A6B81">
        <w:rPr>
          <w:rFonts w:ascii="Garamond" w:hAnsi="Garamond"/>
        </w:rPr>
        <w:t>15 Wash.App.2d 588</w:t>
      </w:r>
      <w:r w:rsidR="00932FAF">
        <w:rPr>
          <w:rFonts w:ascii="Garamond" w:hAnsi="Garamond"/>
        </w:rPr>
        <w:t xml:space="preserve">, </w:t>
      </w:r>
      <w:r w:rsidR="00932FAF" w:rsidRPr="00932FAF">
        <w:rPr>
          <w:rFonts w:ascii="Garamond" w:hAnsi="Garamond"/>
        </w:rPr>
        <w:t>476 P.3d 636</w:t>
      </w:r>
      <w:r w:rsidR="000A6B81">
        <w:rPr>
          <w:rFonts w:ascii="Garamond" w:hAnsi="Garamond"/>
        </w:rPr>
        <w:t xml:space="preserve"> (2020</w:t>
      </w:r>
      <w:r w:rsidR="007C7CB4">
        <w:rPr>
          <w:rFonts w:ascii="Garamond" w:hAnsi="Garamond"/>
        </w:rPr>
        <w:t xml:space="preserve">). </w:t>
      </w:r>
      <w:r w:rsidR="0029335E">
        <w:rPr>
          <w:rFonts w:ascii="Garamond" w:hAnsi="Garamond"/>
          <w:i/>
          <w:iCs/>
        </w:rPr>
        <w:t xml:space="preserve"> </w:t>
      </w:r>
      <w:r w:rsidR="00A41069" w:rsidRPr="00A41069">
        <w:rPr>
          <w:rFonts w:ascii="Garamond" w:hAnsi="Garamond"/>
        </w:rPr>
        <w:t xml:space="preserve">Once a judgment of de facto parentage is entered, the parent-child relationship arguably exists for all purposes, presumably including under </w:t>
      </w:r>
      <w:r w:rsidR="00064A92">
        <w:rPr>
          <w:rFonts w:ascii="Garamond" w:hAnsi="Garamond"/>
        </w:rPr>
        <w:t xml:space="preserve">UPA </w:t>
      </w:r>
      <w:r w:rsidR="00A41069" w:rsidRPr="00A41069">
        <w:rPr>
          <w:rFonts w:ascii="Garamond" w:hAnsi="Garamond"/>
        </w:rPr>
        <w:t xml:space="preserve">§ 203 inheritance and inclusion in class gifts in donative </w:t>
      </w:r>
      <w:r w:rsidR="00E85570">
        <w:rPr>
          <w:rFonts w:ascii="Garamond" w:hAnsi="Garamond"/>
        </w:rPr>
        <w:t>instruments</w:t>
      </w:r>
      <w:r w:rsidR="00A41069" w:rsidRPr="00A41069">
        <w:rPr>
          <w:rFonts w:ascii="Garamond" w:hAnsi="Garamond"/>
        </w:rPr>
        <w:t xml:space="preserve">. </w:t>
      </w:r>
    </w:p>
    <w:p w14:paraId="7EA13637" w14:textId="13366269" w:rsidR="00102AED" w:rsidRDefault="005F714C" w:rsidP="00637866">
      <w:pPr>
        <w:pStyle w:val="NoSpacing"/>
        <w:numPr>
          <w:ilvl w:val="0"/>
          <w:numId w:val="1"/>
        </w:numPr>
        <w:spacing w:before="160"/>
        <w:contextualSpacing w:val="0"/>
        <w:rPr>
          <w:rFonts w:ascii="Garamond" w:hAnsi="Garamond"/>
        </w:rPr>
      </w:pPr>
      <w:r>
        <w:rPr>
          <w:rFonts w:ascii="Garamond" w:hAnsi="Garamond"/>
        </w:rPr>
        <w:t>Wills and Trusts formalities</w:t>
      </w:r>
    </w:p>
    <w:p w14:paraId="58F86176" w14:textId="79A68F81" w:rsidR="00C25087" w:rsidRDefault="001C5481" w:rsidP="00637866">
      <w:pPr>
        <w:pStyle w:val="NoSpacing"/>
        <w:numPr>
          <w:ilvl w:val="1"/>
          <w:numId w:val="1"/>
        </w:numPr>
        <w:spacing w:before="160"/>
        <w:contextualSpacing w:val="0"/>
        <w:rPr>
          <w:rFonts w:ascii="Garamond" w:hAnsi="Garamond"/>
        </w:rPr>
      </w:pPr>
      <w:r>
        <w:rPr>
          <w:rFonts w:ascii="Garamond" w:hAnsi="Garamond"/>
        </w:rPr>
        <w:t>The rise of the harmless error rule and intent</w:t>
      </w:r>
      <w:r w:rsidR="00321AD0">
        <w:rPr>
          <w:rFonts w:ascii="Garamond" w:hAnsi="Garamond"/>
        </w:rPr>
        <w:t xml:space="preserve"> in general</w:t>
      </w:r>
    </w:p>
    <w:p w14:paraId="4E04D132" w14:textId="77777777" w:rsidR="007D5410" w:rsidRDefault="00F97E72" w:rsidP="007360BB">
      <w:pPr>
        <w:pStyle w:val="NoSpacing"/>
        <w:numPr>
          <w:ilvl w:val="2"/>
          <w:numId w:val="1"/>
        </w:numPr>
        <w:spacing w:before="160"/>
        <w:contextualSpacing w:val="0"/>
        <w:rPr>
          <w:rFonts w:ascii="Garamond" w:hAnsi="Garamond"/>
        </w:rPr>
      </w:pPr>
      <w:r>
        <w:rPr>
          <w:rFonts w:ascii="Garamond" w:hAnsi="Garamond"/>
        </w:rPr>
        <w:t xml:space="preserve">One of the </w:t>
      </w:r>
      <w:r w:rsidR="008A5A3F">
        <w:rPr>
          <w:rFonts w:ascii="Garamond" w:hAnsi="Garamond"/>
        </w:rPr>
        <w:t xml:space="preserve">most </w:t>
      </w:r>
      <w:r>
        <w:rPr>
          <w:rFonts w:ascii="Garamond" w:hAnsi="Garamond"/>
        </w:rPr>
        <w:t xml:space="preserve">important </w:t>
      </w:r>
      <w:r w:rsidR="008A5A3F">
        <w:rPr>
          <w:rFonts w:ascii="Garamond" w:hAnsi="Garamond"/>
        </w:rPr>
        <w:t xml:space="preserve">developments in the law of </w:t>
      </w:r>
      <w:r w:rsidR="00000697">
        <w:rPr>
          <w:rFonts w:ascii="Garamond" w:hAnsi="Garamond"/>
        </w:rPr>
        <w:t>donative transfers</w:t>
      </w:r>
      <w:r w:rsidR="008A5A3F">
        <w:rPr>
          <w:rFonts w:ascii="Garamond" w:hAnsi="Garamond"/>
        </w:rPr>
        <w:t xml:space="preserve"> at the end of the last century w</w:t>
      </w:r>
      <w:r w:rsidR="00AE0E5F">
        <w:rPr>
          <w:rFonts w:ascii="Garamond" w:hAnsi="Garamond"/>
        </w:rPr>
        <w:t xml:space="preserve">as an increasing focus on the intent of the </w:t>
      </w:r>
      <w:r w:rsidR="00000697">
        <w:rPr>
          <w:rFonts w:ascii="Garamond" w:hAnsi="Garamond"/>
        </w:rPr>
        <w:t>donor as validating the</w:t>
      </w:r>
      <w:r w:rsidR="004B3954">
        <w:rPr>
          <w:rFonts w:ascii="Garamond" w:hAnsi="Garamond"/>
        </w:rPr>
        <w:t xml:space="preserve"> transfer even in the absence of compliance with otherwise required formalities.</w:t>
      </w:r>
    </w:p>
    <w:p w14:paraId="68628575" w14:textId="542D8318" w:rsidR="00FC3682" w:rsidRDefault="006A5E55" w:rsidP="00FC3682">
      <w:pPr>
        <w:pStyle w:val="NoSpacing"/>
        <w:numPr>
          <w:ilvl w:val="2"/>
          <w:numId w:val="1"/>
        </w:numPr>
        <w:spacing w:before="160"/>
        <w:contextualSpacing w:val="0"/>
        <w:rPr>
          <w:rFonts w:ascii="Garamond" w:hAnsi="Garamond"/>
        </w:rPr>
      </w:pPr>
      <w:r w:rsidRPr="001B759B">
        <w:rPr>
          <w:rFonts w:ascii="Garamond" w:hAnsi="Garamond"/>
        </w:rPr>
        <w:t xml:space="preserve">This approach is exemplified by the Restatement of Property </w:t>
      </w:r>
      <w:r w:rsidR="00BF1809">
        <w:rPr>
          <w:rFonts w:ascii="Garamond" w:hAnsi="Garamond"/>
        </w:rPr>
        <w:t xml:space="preserve">(Third) </w:t>
      </w:r>
      <w:r w:rsidRPr="001B759B">
        <w:rPr>
          <w:rFonts w:ascii="Garamond" w:hAnsi="Garamond"/>
        </w:rPr>
        <w:t>(Wills and Donative Transfers)</w:t>
      </w:r>
      <w:r w:rsidR="00FA02AA" w:rsidRPr="001B759B">
        <w:rPr>
          <w:rFonts w:ascii="Garamond" w:hAnsi="Garamond"/>
        </w:rPr>
        <w:t xml:space="preserve"> </w:t>
      </w:r>
      <w:r w:rsidR="00FA02AA" w:rsidRPr="001B759B">
        <w:rPr>
          <w:rFonts w:ascii="Garamond" w:hAnsi="Garamond" w:cs="Calibri"/>
        </w:rPr>
        <w:t xml:space="preserve">§ 3.3 </w:t>
      </w:r>
      <w:r w:rsidR="007306E1" w:rsidRPr="001B759B">
        <w:rPr>
          <w:rFonts w:ascii="Garamond" w:hAnsi="Garamond" w:cs="Calibri"/>
        </w:rPr>
        <w:t>and codified in Uniform Probate Code § 2-503</w:t>
      </w:r>
      <w:r w:rsidR="00FC3682" w:rsidRPr="001B759B">
        <w:rPr>
          <w:rFonts w:ascii="Garamond" w:hAnsi="Garamond" w:cs="Calibri"/>
        </w:rPr>
        <w:t xml:space="preserve"> which </w:t>
      </w:r>
      <w:r w:rsidR="005F10E9" w:rsidRPr="001B759B">
        <w:rPr>
          <w:rFonts w:ascii="Garamond" w:hAnsi="Garamond" w:cs="Calibri"/>
        </w:rPr>
        <w:t xml:space="preserve">treats a document </w:t>
      </w:r>
      <w:r w:rsidR="00553641" w:rsidRPr="001B759B">
        <w:rPr>
          <w:rFonts w:ascii="Garamond" w:hAnsi="Garamond" w:cs="Calibri"/>
        </w:rPr>
        <w:t xml:space="preserve">or writing </w:t>
      </w:r>
      <w:r w:rsidR="005F10E9" w:rsidRPr="001B759B">
        <w:rPr>
          <w:rFonts w:ascii="Garamond" w:hAnsi="Garamond" w:cs="Calibri"/>
        </w:rPr>
        <w:t xml:space="preserve">not executed in compliance with the provisions of </w:t>
      </w:r>
      <w:r w:rsidR="00553641" w:rsidRPr="001B759B">
        <w:rPr>
          <w:rFonts w:ascii="Garamond" w:hAnsi="Garamond" w:cs="Calibri"/>
        </w:rPr>
        <w:t>§ 2-502 as if it had been so executed</w:t>
      </w:r>
      <w:r w:rsidR="001B759B" w:rsidRPr="001B759B">
        <w:rPr>
          <w:rFonts w:ascii="Garamond" w:hAnsi="Garamond" w:cs="Calibri"/>
        </w:rPr>
        <w:t xml:space="preserve"> </w:t>
      </w:r>
      <w:r w:rsidR="001B759B" w:rsidRPr="001B759B">
        <w:rPr>
          <w:rFonts w:ascii="Garamond" w:hAnsi="Garamond"/>
        </w:rPr>
        <w:t>“</w:t>
      </w:r>
      <w:r w:rsidR="00FC3682" w:rsidRPr="001B759B">
        <w:rPr>
          <w:rFonts w:ascii="Garamond" w:hAnsi="Garamond"/>
        </w:rPr>
        <w:t>if the proponent of the document or</w:t>
      </w:r>
      <w:r w:rsidR="001B759B" w:rsidRPr="001B759B">
        <w:rPr>
          <w:rFonts w:ascii="Garamond" w:hAnsi="Garamond"/>
        </w:rPr>
        <w:t xml:space="preserve"> </w:t>
      </w:r>
      <w:r w:rsidR="00FC3682" w:rsidRPr="001B759B">
        <w:rPr>
          <w:rFonts w:ascii="Garamond" w:hAnsi="Garamond"/>
        </w:rPr>
        <w:t>writing establishes by clear and convincing evidence that the decedent intended the document or</w:t>
      </w:r>
      <w:r w:rsidR="001B759B" w:rsidRPr="001B759B">
        <w:rPr>
          <w:rFonts w:ascii="Garamond" w:hAnsi="Garamond"/>
        </w:rPr>
        <w:t xml:space="preserve"> </w:t>
      </w:r>
      <w:r w:rsidR="00FC3682" w:rsidRPr="001B759B">
        <w:rPr>
          <w:rFonts w:ascii="Garamond" w:hAnsi="Garamond"/>
        </w:rPr>
        <w:t>writing to constitute</w:t>
      </w:r>
      <w:r w:rsidR="001B759B" w:rsidRPr="001B759B">
        <w:rPr>
          <w:rFonts w:ascii="Garamond" w:hAnsi="Garamond"/>
        </w:rPr>
        <w:t xml:space="preserve">” </w:t>
      </w:r>
      <w:r w:rsidR="00FC3682" w:rsidRPr="001B759B">
        <w:rPr>
          <w:rFonts w:ascii="Garamond" w:hAnsi="Garamond"/>
        </w:rPr>
        <w:t>the decedent’s will,</w:t>
      </w:r>
      <w:r w:rsidR="001B759B" w:rsidRPr="001B759B">
        <w:rPr>
          <w:rFonts w:ascii="Garamond" w:hAnsi="Garamond"/>
        </w:rPr>
        <w:t xml:space="preserve"> </w:t>
      </w:r>
      <w:r w:rsidR="00FC3682" w:rsidRPr="001B759B">
        <w:rPr>
          <w:rFonts w:ascii="Garamond" w:hAnsi="Garamond"/>
        </w:rPr>
        <w:t>a partial or complete</w:t>
      </w:r>
      <w:r w:rsidR="001B759B" w:rsidRPr="001B759B">
        <w:rPr>
          <w:rFonts w:ascii="Garamond" w:hAnsi="Garamond"/>
        </w:rPr>
        <w:t xml:space="preserve"> re</w:t>
      </w:r>
      <w:r w:rsidR="00FC3682" w:rsidRPr="001B759B">
        <w:rPr>
          <w:rFonts w:ascii="Garamond" w:hAnsi="Garamond"/>
        </w:rPr>
        <w:t>vocation of the will,</w:t>
      </w:r>
      <w:r w:rsidR="001B759B" w:rsidRPr="001B759B">
        <w:rPr>
          <w:rFonts w:ascii="Garamond" w:hAnsi="Garamond"/>
        </w:rPr>
        <w:t xml:space="preserve"> </w:t>
      </w:r>
      <w:r w:rsidR="00FC3682" w:rsidRPr="001B759B">
        <w:rPr>
          <w:rFonts w:ascii="Garamond" w:hAnsi="Garamond"/>
        </w:rPr>
        <w:t>an addition to or an alteration of the will, or</w:t>
      </w:r>
      <w:r w:rsidR="001B759B" w:rsidRPr="001B759B">
        <w:rPr>
          <w:rFonts w:ascii="Garamond" w:hAnsi="Garamond"/>
        </w:rPr>
        <w:t xml:space="preserve"> </w:t>
      </w:r>
      <w:r w:rsidR="00FC3682" w:rsidRPr="001B759B">
        <w:rPr>
          <w:rFonts w:ascii="Garamond" w:hAnsi="Garamond"/>
        </w:rPr>
        <w:t>a partial or complete revival of the decedent’s formerly revoked will or of a formerly</w:t>
      </w:r>
      <w:r w:rsidR="001B759B">
        <w:rPr>
          <w:rFonts w:ascii="Garamond" w:hAnsi="Garamond"/>
        </w:rPr>
        <w:t xml:space="preserve"> </w:t>
      </w:r>
      <w:r w:rsidR="00FC3682" w:rsidRPr="001B759B">
        <w:rPr>
          <w:rFonts w:ascii="Garamond" w:hAnsi="Garamond"/>
        </w:rPr>
        <w:t>revoked portion of the will.</w:t>
      </w:r>
    </w:p>
    <w:p w14:paraId="260A6FC8" w14:textId="35ED1FD4" w:rsidR="00C21F8A" w:rsidRPr="00C21F8A" w:rsidRDefault="00124E93" w:rsidP="00FC3682">
      <w:pPr>
        <w:pStyle w:val="NoSpacing"/>
        <w:numPr>
          <w:ilvl w:val="2"/>
          <w:numId w:val="1"/>
        </w:numPr>
        <w:spacing w:before="160"/>
        <w:contextualSpacing w:val="0"/>
        <w:rPr>
          <w:rFonts w:ascii="Garamond" w:hAnsi="Garamond"/>
        </w:rPr>
      </w:pPr>
      <w:r>
        <w:rPr>
          <w:rFonts w:ascii="Garamond" w:hAnsi="Garamond"/>
        </w:rPr>
        <w:lastRenderedPageBreak/>
        <w:t xml:space="preserve">The provision is the law </w:t>
      </w:r>
      <w:r w:rsidR="00732146">
        <w:rPr>
          <w:rFonts w:ascii="Garamond" w:hAnsi="Garamond"/>
        </w:rPr>
        <w:t xml:space="preserve">in nine states, including New </w:t>
      </w:r>
      <w:r w:rsidR="00E85570">
        <w:rPr>
          <w:rFonts w:ascii="Garamond" w:hAnsi="Garamond"/>
        </w:rPr>
        <w:t>Jersey (</w:t>
      </w:r>
      <w:r w:rsidR="001743D4">
        <w:rPr>
          <w:rFonts w:ascii="Garamond" w:hAnsi="Garamond"/>
        </w:rPr>
        <w:t xml:space="preserve">N.J. Stat. Ann </w:t>
      </w:r>
      <w:r w:rsidR="00C273B0" w:rsidRPr="00FA02AA">
        <w:rPr>
          <w:rFonts w:ascii="Garamond" w:hAnsi="Garamond" w:cs="Calibri"/>
        </w:rPr>
        <w:t>§</w:t>
      </w:r>
      <w:r w:rsidR="00C273B0">
        <w:rPr>
          <w:rFonts w:ascii="Garamond" w:hAnsi="Garamond" w:cs="Calibri"/>
        </w:rPr>
        <w:t xml:space="preserve"> 3B:3-3</w:t>
      </w:r>
      <w:r w:rsidR="00E54E6C">
        <w:rPr>
          <w:rFonts w:ascii="Garamond" w:hAnsi="Garamond" w:cs="Calibri"/>
        </w:rPr>
        <w:t xml:space="preserve">; effective February </w:t>
      </w:r>
      <w:r w:rsidR="00685A38">
        <w:rPr>
          <w:rFonts w:ascii="Garamond" w:hAnsi="Garamond" w:cs="Calibri"/>
        </w:rPr>
        <w:t xml:space="preserve">27, 2005). </w:t>
      </w:r>
    </w:p>
    <w:p w14:paraId="706B40BC" w14:textId="32217195" w:rsidR="00900998" w:rsidRPr="00660ACE" w:rsidRDefault="00C21F8A" w:rsidP="00C21F8A">
      <w:pPr>
        <w:pStyle w:val="NoSpacing"/>
        <w:numPr>
          <w:ilvl w:val="3"/>
          <w:numId w:val="1"/>
        </w:numPr>
        <w:spacing w:before="160"/>
        <w:contextualSpacing w:val="0"/>
        <w:rPr>
          <w:rFonts w:ascii="Garamond" w:hAnsi="Garamond"/>
        </w:rPr>
      </w:pPr>
      <w:r>
        <w:rPr>
          <w:rFonts w:ascii="Garamond" w:hAnsi="Garamond" w:cs="Calibri"/>
        </w:rPr>
        <w:t>New Jersey cases have held that there i</w:t>
      </w:r>
      <w:r w:rsidR="00424148">
        <w:rPr>
          <w:rFonts w:ascii="Garamond" w:hAnsi="Garamond" w:cs="Calibri"/>
        </w:rPr>
        <w:t>s</w:t>
      </w:r>
      <w:r>
        <w:rPr>
          <w:rFonts w:ascii="Garamond" w:hAnsi="Garamond" w:cs="Calibri"/>
        </w:rPr>
        <w:t xml:space="preserve"> no requirement that the document or writing be signed, but there must be evidence that the testator </w:t>
      </w:r>
      <w:r w:rsidR="0049357B">
        <w:rPr>
          <w:rFonts w:ascii="Garamond" w:hAnsi="Garamond" w:cs="Calibri"/>
        </w:rPr>
        <w:t xml:space="preserve">reviewed the document or writing and gave “final assent” to it, </w:t>
      </w:r>
      <w:r w:rsidR="00E22994">
        <w:rPr>
          <w:rFonts w:ascii="Garamond" w:hAnsi="Garamond" w:cs="Calibri"/>
          <w:i/>
          <w:iCs/>
        </w:rPr>
        <w:t>In re Will of Macool</w:t>
      </w:r>
      <w:r w:rsidR="00E22994">
        <w:rPr>
          <w:rFonts w:ascii="Garamond" w:hAnsi="Garamond" w:cs="Calibri"/>
        </w:rPr>
        <w:t xml:space="preserve">, 416 N.J. Super. 298, 3 A.3d 12589 (App.Div. </w:t>
      </w:r>
      <w:r w:rsidR="00660ACE">
        <w:rPr>
          <w:rFonts w:ascii="Garamond" w:hAnsi="Garamond" w:cs="Calibri"/>
        </w:rPr>
        <w:t>2010)</w:t>
      </w:r>
      <w:r w:rsidR="00E85570">
        <w:rPr>
          <w:rFonts w:ascii="Garamond" w:hAnsi="Garamond" w:cs="Calibri"/>
        </w:rPr>
        <w:t>.</w:t>
      </w:r>
    </w:p>
    <w:p w14:paraId="50DCD5EC" w14:textId="5BC7FA9B" w:rsidR="00660ACE" w:rsidRPr="00BF1809" w:rsidRDefault="00660ACE" w:rsidP="00C21F8A">
      <w:pPr>
        <w:pStyle w:val="NoSpacing"/>
        <w:numPr>
          <w:ilvl w:val="3"/>
          <w:numId w:val="1"/>
        </w:numPr>
        <w:spacing w:before="160"/>
        <w:contextualSpacing w:val="0"/>
        <w:rPr>
          <w:rFonts w:ascii="Garamond" w:hAnsi="Garamond"/>
        </w:rPr>
      </w:pPr>
      <w:r>
        <w:rPr>
          <w:rFonts w:ascii="Garamond" w:hAnsi="Garamond" w:cs="Calibri"/>
        </w:rPr>
        <w:t xml:space="preserve">And that because the statute is remedial in nature it must be </w:t>
      </w:r>
      <w:r w:rsidR="00DA21E6">
        <w:rPr>
          <w:rFonts w:ascii="Garamond" w:hAnsi="Garamond" w:cs="Calibri"/>
        </w:rPr>
        <w:t xml:space="preserve">liberally construed, </w:t>
      </w:r>
      <w:r w:rsidR="00DA21E6">
        <w:rPr>
          <w:rFonts w:ascii="Garamond" w:hAnsi="Garamond" w:cs="Calibri"/>
          <w:i/>
          <w:iCs/>
        </w:rPr>
        <w:t>In re Estate of Ehrlich</w:t>
      </w:r>
      <w:r w:rsidR="00DA21E6">
        <w:rPr>
          <w:rFonts w:ascii="Garamond" w:hAnsi="Garamond" w:cs="Calibri"/>
        </w:rPr>
        <w:t>, 427 N.J. Super. 64, 47</w:t>
      </w:r>
      <w:r w:rsidR="004C231E">
        <w:rPr>
          <w:rFonts w:ascii="Garamond" w:hAnsi="Garamond" w:cs="Calibri"/>
        </w:rPr>
        <w:t xml:space="preserve"> A.3d 12 (App. Div. 2012).</w:t>
      </w:r>
    </w:p>
    <w:p w14:paraId="0BFA4EA3" w14:textId="4B003E44" w:rsidR="00BF1809" w:rsidRPr="001B759B" w:rsidRDefault="00BF1809" w:rsidP="00BF1809">
      <w:pPr>
        <w:pStyle w:val="NoSpacing"/>
        <w:numPr>
          <w:ilvl w:val="2"/>
          <w:numId w:val="1"/>
        </w:numPr>
        <w:spacing w:before="160"/>
        <w:contextualSpacing w:val="0"/>
        <w:rPr>
          <w:rFonts w:ascii="Garamond" w:hAnsi="Garamond"/>
        </w:rPr>
      </w:pPr>
      <w:r>
        <w:rPr>
          <w:rFonts w:ascii="Garamond" w:hAnsi="Garamond" w:cs="Calibri"/>
        </w:rPr>
        <w:t xml:space="preserve">Restatement </w:t>
      </w:r>
      <w:r w:rsidR="00CF38BC">
        <w:rPr>
          <w:rFonts w:ascii="Garamond" w:hAnsi="Garamond" w:cs="Calibri"/>
        </w:rPr>
        <w:t xml:space="preserve">of Property (Third) </w:t>
      </w:r>
      <w:r w:rsidR="00A01443" w:rsidRPr="00FA02AA">
        <w:rPr>
          <w:rFonts w:ascii="Garamond" w:hAnsi="Garamond" w:cs="Calibri"/>
        </w:rPr>
        <w:t>§</w:t>
      </w:r>
      <w:r w:rsidR="00A01443">
        <w:rPr>
          <w:rFonts w:ascii="Garamond" w:hAnsi="Garamond" w:cs="Calibri"/>
        </w:rPr>
        <w:t xml:space="preserve"> 6.2 </w:t>
      </w:r>
      <w:r w:rsidR="00A01443">
        <w:rPr>
          <w:rFonts w:ascii="Garamond" w:hAnsi="Garamond" w:cs="Calibri"/>
          <w:i/>
          <w:iCs/>
        </w:rPr>
        <w:t>cmt. yy</w:t>
      </w:r>
      <w:r w:rsidR="00A01443">
        <w:rPr>
          <w:rFonts w:ascii="Garamond" w:hAnsi="Garamond" w:cs="Calibri"/>
        </w:rPr>
        <w:t xml:space="preserve"> </w:t>
      </w:r>
      <w:r w:rsidR="00F63CB3">
        <w:rPr>
          <w:rFonts w:ascii="Garamond" w:hAnsi="Garamond" w:cs="Calibri"/>
        </w:rPr>
        <w:t xml:space="preserve">states </w:t>
      </w:r>
      <w:r w:rsidR="00A01443">
        <w:rPr>
          <w:rFonts w:ascii="Garamond" w:hAnsi="Garamond" w:cs="Calibri"/>
        </w:rPr>
        <w:t>that an intervi</w:t>
      </w:r>
      <w:r w:rsidR="00DB3982">
        <w:rPr>
          <w:rFonts w:ascii="Garamond" w:hAnsi="Garamond" w:cs="Calibri"/>
        </w:rPr>
        <w:t>vos gift of personal property “can be perfected on the basis of donative intent alone.”</w:t>
      </w:r>
    </w:p>
    <w:p w14:paraId="6CF6BAD1" w14:textId="2980F15A" w:rsidR="00321AD0" w:rsidRDefault="00321AD0" w:rsidP="00637866">
      <w:pPr>
        <w:pStyle w:val="NoSpacing"/>
        <w:numPr>
          <w:ilvl w:val="1"/>
          <w:numId w:val="1"/>
        </w:numPr>
        <w:spacing w:before="160"/>
        <w:contextualSpacing w:val="0"/>
        <w:rPr>
          <w:rFonts w:ascii="Garamond" w:hAnsi="Garamond"/>
        </w:rPr>
      </w:pPr>
      <w:r>
        <w:rPr>
          <w:rFonts w:ascii="Garamond" w:hAnsi="Garamond"/>
        </w:rPr>
        <w:t>New York’s position as both ahead of the times and behind them</w:t>
      </w:r>
      <w:r w:rsidR="007030E6">
        <w:rPr>
          <w:rFonts w:ascii="Garamond" w:hAnsi="Garamond"/>
        </w:rPr>
        <w:t>.</w:t>
      </w:r>
    </w:p>
    <w:p w14:paraId="6E512D9C" w14:textId="60FFE92C" w:rsidR="007030E6" w:rsidRPr="007A0894" w:rsidRDefault="007030E6" w:rsidP="007030E6">
      <w:pPr>
        <w:pStyle w:val="NoSpacing"/>
        <w:numPr>
          <w:ilvl w:val="2"/>
          <w:numId w:val="1"/>
        </w:numPr>
        <w:spacing w:before="160"/>
        <w:contextualSpacing w:val="0"/>
        <w:rPr>
          <w:rFonts w:ascii="Garamond" w:hAnsi="Garamond"/>
        </w:rPr>
      </w:pPr>
      <w:r>
        <w:rPr>
          <w:rFonts w:ascii="Garamond" w:hAnsi="Garamond"/>
        </w:rPr>
        <w:t>New York codified its rules for the execution of wills in the Revised Statutes</w:t>
      </w:r>
      <w:r w:rsidR="009307AF">
        <w:rPr>
          <w:rFonts w:ascii="Garamond" w:hAnsi="Garamond"/>
        </w:rPr>
        <w:t xml:space="preserve"> of 1830 (</w:t>
      </w:r>
      <w:r w:rsidR="00A5377D">
        <w:rPr>
          <w:rFonts w:ascii="Garamond" w:hAnsi="Garamond"/>
        </w:rPr>
        <w:t xml:space="preserve">2 R.S. 63, </w:t>
      </w:r>
      <w:r w:rsidR="00A5377D" w:rsidRPr="00FA02AA">
        <w:rPr>
          <w:rFonts w:ascii="Garamond" w:hAnsi="Garamond" w:cs="Calibri"/>
        </w:rPr>
        <w:t>§</w:t>
      </w:r>
      <w:r w:rsidR="00A5377D">
        <w:rPr>
          <w:rFonts w:ascii="Garamond" w:hAnsi="Garamond" w:cs="Calibri"/>
        </w:rPr>
        <w:t xml:space="preserve"> 40). Those provisions are still at the heart of EPTL 3-</w:t>
      </w:r>
      <w:r w:rsidR="00B71E2B">
        <w:rPr>
          <w:rFonts w:ascii="Garamond" w:hAnsi="Garamond" w:cs="Calibri"/>
        </w:rPr>
        <w:t>2.1</w:t>
      </w:r>
      <w:r w:rsidR="00BB50CF">
        <w:rPr>
          <w:rFonts w:ascii="Garamond" w:hAnsi="Garamond" w:cs="Calibri"/>
        </w:rPr>
        <w:t>. Under the 1830 provision t</w:t>
      </w:r>
      <w:r w:rsidR="00D41823">
        <w:rPr>
          <w:rFonts w:ascii="Garamond" w:hAnsi="Garamond" w:cs="Calibri"/>
        </w:rPr>
        <w:t>he testator must</w:t>
      </w:r>
    </w:p>
    <w:p w14:paraId="107E83EA" w14:textId="1BD4DDC2" w:rsidR="007A0894" w:rsidRPr="00C1133A" w:rsidRDefault="00D41823" w:rsidP="007A0894">
      <w:pPr>
        <w:pStyle w:val="NoSpacing"/>
        <w:numPr>
          <w:ilvl w:val="3"/>
          <w:numId w:val="1"/>
        </w:numPr>
        <w:spacing w:before="160"/>
        <w:contextualSpacing w:val="0"/>
        <w:rPr>
          <w:rFonts w:ascii="Garamond" w:hAnsi="Garamond"/>
        </w:rPr>
      </w:pPr>
      <w:r>
        <w:rPr>
          <w:rFonts w:ascii="Garamond" w:hAnsi="Garamond" w:cs="Calibri"/>
        </w:rPr>
        <w:t>S</w:t>
      </w:r>
      <w:r w:rsidR="00C1133A">
        <w:rPr>
          <w:rFonts w:ascii="Garamond" w:hAnsi="Garamond" w:cs="Calibri"/>
        </w:rPr>
        <w:t>ign at the end of the will</w:t>
      </w:r>
      <w:r w:rsidR="0079442F">
        <w:rPr>
          <w:rFonts w:ascii="Garamond" w:hAnsi="Garamond" w:cs="Calibri"/>
        </w:rPr>
        <w:t>,</w:t>
      </w:r>
    </w:p>
    <w:p w14:paraId="70798C0D" w14:textId="504C1971" w:rsidR="00C1133A" w:rsidRPr="00D41823" w:rsidRDefault="00C1133A" w:rsidP="007A0894">
      <w:pPr>
        <w:pStyle w:val="NoSpacing"/>
        <w:numPr>
          <w:ilvl w:val="3"/>
          <w:numId w:val="1"/>
        </w:numPr>
        <w:spacing w:before="160"/>
        <w:contextualSpacing w:val="0"/>
        <w:rPr>
          <w:rFonts w:ascii="Garamond" w:hAnsi="Garamond"/>
        </w:rPr>
      </w:pPr>
      <w:r>
        <w:rPr>
          <w:rFonts w:ascii="Garamond" w:hAnsi="Garamond" w:cs="Calibri"/>
        </w:rPr>
        <w:t xml:space="preserve">Sign in the presence of </w:t>
      </w:r>
      <w:r w:rsidR="00507C5F">
        <w:rPr>
          <w:rFonts w:ascii="Garamond" w:hAnsi="Garamond" w:cs="Calibri"/>
        </w:rPr>
        <w:t xml:space="preserve">the witnesses or acknowledge the signature </w:t>
      </w:r>
      <w:r w:rsidR="00D41823">
        <w:rPr>
          <w:rFonts w:ascii="Garamond" w:hAnsi="Garamond" w:cs="Calibri"/>
        </w:rPr>
        <w:t>to each of them</w:t>
      </w:r>
      <w:r w:rsidR="0079442F">
        <w:rPr>
          <w:rFonts w:ascii="Garamond" w:hAnsi="Garamond" w:cs="Calibri"/>
        </w:rPr>
        <w:t>,</w:t>
      </w:r>
    </w:p>
    <w:p w14:paraId="6F583D71" w14:textId="1278E636" w:rsidR="00D41823" w:rsidRPr="008576EA" w:rsidRDefault="00D41823" w:rsidP="007A0894">
      <w:pPr>
        <w:pStyle w:val="NoSpacing"/>
        <w:numPr>
          <w:ilvl w:val="3"/>
          <w:numId w:val="1"/>
        </w:numPr>
        <w:spacing w:before="160"/>
        <w:contextualSpacing w:val="0"/>
        <w:rPr>
          <w:rFonts w:ascii="Garamond" w:hAnsi="Garamond"/>
        </w:rPr>
      </w:pPr>
      <w:r>
        <w:rPr>
          <w:rFonts w:ascii="Garamond" w:hAnsi="Garamond" w:cs="Calibri"/>
        </w:rPr>
        <w:t xml:space="preserve">Declare to the witnesses that the document is the testator’s </w:t>
      </w:r>
      <w:r w:rsidR="0079442F">
        <w:rPr>
          <w:rFonts w:ascii="Garamond" w:hAnsi="Garamond" w:cs="Calibri"/>
        </w:rPr>
        <w:t>will,</w:t>
      </w:r>
    </w:p>
    <w:p w14:paraId="44B26156" w14:textId="2863D74F" w:rsidR="008576EA" w:rsidRPr="00DE2679" w:rsidRDefault="008576EA" w:rsidP="007A0894">
      <w:pPr>
        <w:pStyle w:val="NoSpacing"/>
        <w:numPr>
          <w:ilvl w:val="3"/>
          <w:numId w:val="1"/>
        </w:numPr>
        <w:spacing w:before="160"/>
        <w:contextualSpacing w:val="0"/>
        <w:rPr>
          <w:rFonts w:ascii="Garamond" w:hAnsi="Garamond"/>
        </w:rPr>
      </w:pPr>
      <w:r>
        <w:rPr>
          <w:rFonts w:ascii="Garamond" w:hAnsi="Garamond" w:cs="Calibri"/>
        </w:rPr>
        <w:t>And request at least two persons to sign as witnesses</w:t>
      </w:r>
      <w:r w:rsidR="0079442F">
        <w:rPr>
          <w:rFonts w:ascii="Garamond" w:hAnsi="Garamond" w:cs="Calibri"/>
        </w:rPr>
        <w:t>, and they must sign at the end of the will.</w:t>
      </w:r>
    </w:p>
    <w:p w14:paraId="76A47A92" w14:textId="1A54546B" w:rsidR="00DE2679" w:rsidRDefault="00E4650A" w:rsidP="00DE2679">
      <w:pPr>
        <w:pStyle w:val="NoSpacing"/>
        <w:numPr>
          <w:ilvl w:val="2"/>
          <w:numId w:val="1"/>
        </w:numPr>
        <w:spacing w:before="160"/>
        <w:contextualSpacing w:val="0"/>
        <w:rPr>
          <w:rFonts w:ascii="Garamond" w:hAnsi="Garamond"/>
        </w:rPr>
      </w:pPr>
      <w:r>
        <w:rPr>
          <w:rFonts w:ascii="Garamond" w:hAnsi="Garamond"/>
        </w:rPr>
        <w:t>The 1830 enactment spared New York the influence of the English Wills Act of 1837</w:t>
      </w:r>
      <w:r w:rsidR="009A654A">
        <w:rPr>
          <w:rFonts w:ascii="Garamond" w:hAnsi="Garamond"/>
        </w:rPr>
        <w:t xml:space="preserve"> (</w:t>
      </w:r>
      <w:r w:rsidR="00EC6C86">
        <w:rPr>
          <w:rFonts w:ascii="Garamond" w:hAnsi="Garamond"/>
        </w:rPr>
        <w:t>7 W</w:t>
      </w:r>
      <w:r w:rsidR="00D90D95">
        <w:rPr>
          <w:rFonts w:ascii="Garamond" w:hAnsi="Garamond"/>
        </w:rPr>
        <w:t xml:space="preserve">ill 4 &amp; 1 Vict. c. 26) with its requirement that the </w:t>
      </w:r>
      <w:r w:rsidR="00EB41BC">
        <w:rPr>
          <w:rFonts w:ascii="Garamond" w:hAnsi="Garamond"/>
        </w:rPr>
        <w:t xml:space="preserve">testator sign or acknowledge the testator’s signature in the presence of two </w:t>
      </w:r>
      <w:r w:rsidR="00630F2C">
        <w:rPr>
          <w:rFonts w:ascii="Garamond" w:hAnsi="Garamond"/>
        </w:rPr>
        <w:t>or more witnesses “present at the same time” and that the witnesses sign in the presence of the testator</w:t>
      </w:r>
      <w:r w:rsidR="00365C30">
        <w:rPr>
          <w:rFonts w:ascii="Garamond" w:hAnsi="Garamond"/>
        </w:rPr>
        <w:t xml:space="preserve">. </w:t>
      </w:r>
      <w:r w:rsidR="007C64FF">
        <w:rPr>
          <w:rFonts w:ascii="Garamond" w:hAnsi="Garamond"/>
        </w:rPr>
        <w:t xml:space="preserve"> </w:t>
      </w:r>
      <w:r w:rsidR="00365C30">
        <w:rPr>
          <w:rFonts w:ascii="Garamond" w:hAnsi="Garamond"/>
        </w:rPr>
        <w:t>Widely</w:t>
      </w:r>
      <w:r w:rsidR="007C64FF">
        <w:rPr>
          <w:rFonts w:ascii="Garamond" w:hAnsi="Garamond"/>
        </w:rPr>
        <w:t xml:space="preserve"> adopted by United States jurisdictions</w:t>
      </w:r>
      <w:r w:rsidR="00365C30">
        <w:rPr>
          <w:rFonts w:ascii="Garamond" w:hAnsi="Garamond"/>
        </w:rPr>
        <w:t>,</w:t>
      </w:r>
      <w:r w:rsidR="00FC7B8C">
        <w:rPr>
          <w:rFonts w:ascii="Garamond" w:hAnsi="Garamond"/>
        </w:rPr>
        <w:t xml:space="preserve"> </w:t>
      </w:r>
      <w:r w:rsidR="00365C30">
        <w:rPr>
          <w:rFonts w:ascii="Garamond" w:hAnsi="Garamond"/>
        </w:rPr>
        <w:t xml:space="preserve">it </w:t>
      </w:r>
      <w:r w:rsidR="00FC7B8C">
        <w:rPr>
          <w:rFonts w:ascii="Garamond" w:hAnsi="Garamond"/>
        </w:rPr>
        <w:t>has led to much litigation over the meaning of “presence,” litigation which New York has avoided.</w:t>
      </w:r>
      <w:r w:rsidR="000F5811">
        <w:rPr>
          <w:rFonts w:ascii="Garamond" w:hAnsi="Garamond"/>
        </w:rPr>
        <w:t xml:space="preserve"> (For a</w:t>
      </w:r>
      <w:r w:rsidR="00A33D99">
        <w:rPr>
          <w:rFonts w:ascii="Garamond" w:hAnsi="Garamond"/>
        </w:rPr>
        <w:t>n example</w:t>
      </w:r>
      <w:r w:rsidR="000F5811">
        <w:rPr>
          <w:rFonts w:ascii="Garamond" w:hAnsi="Garamond"/>
        </w:rPr>
        <w:t xml:space="preserve"> notorious because included in many casebooks </w:t>
      </w:r>
      <w:r w:rsidR="000F5811">
        <w:rPr>
          <w:rFonts w:ascii="Garamond" w:hAnsi="Garamond"/>
          <w:i/>
          <w:iCs/>
        </w:rPr>
        <w:t>see</w:t>
      </w:r>
      <w:r w:rsidR="00A33D99">
        <w:rPr>
          <w:rFonts w:ascii="Garamond" w:hAnsi="Garamond"/>
          <w:i/>
          <w:iCs/>
        </w:rPr>
        <w:t>,</w:t>
      </w:r>
      <w:r w:rsidR="000F5811">
        <w:rPr>
          <w:rFonts w:ascii="Garamond" w:hAnsi="Garamond"/>
          <w:i/>
          <w:iCs/>
        </w:rPr>
        <w:t xml:space="preserve"> Stevens v. Casdorph</w:t>
      </w:r>
      <w:r w:rsidR="000F5811">
        <w:rPr>
          <w:rFonts w:ascii="Garamond" w:hAnsi="Garamond"/>
        </w:rPr>
        <w:t xml:space="preserve">, </w:t>
      </w:r>
      <w:r w:rsidR="00F20CDF">
        <w:rPr>
          <w:rFonts w:ascii="Garamond" w:hAnsi="Garamond"/>
        </w:rPr>
        <w:t>508 S.E.2d 610 (W.Va. 1998)</w:t>
      </w:r>
      <w:r w:rsidR="00F947ED">
        <w:rPr>
          <w:rFonts w:ascii="Garamond" w:hAnsi="Garamond"/>
        </w:rPr>
        <w:t>)</w:t>
      </w:r>
      <w:r w:rsidR="00F20CDF">
        <w:rPr>
          <w:rFonts w:ascii="Garamond" w:hAnsi="Garamond"/>
        </w:rPr>
        <w:t>.</w:t>
      </w:r>
    </w:p>
    <w:p w14:paraId="026552F5" w14:textId="610BBC8D" w:rsidR="00FC7B8C" w:rsidRDefault="00FC7B8C" w:rsidP="00DE2679">
      <w:pPr>
        <w:pStyle w:val="NoSpacing"/>
        <w:numPr>
          <w:ilvl w:val="2"/>
          <w:numId w:val="1"/>
        </w:numPr>
        <w:spacing w:before="160"/>
        <w:contextualSpacing w:val="0"/>
        <w:rPr>
          <w:rFonts w:ascii="Garamond" w:hAnsi="Garamond"/>
        </w:rPr>
      </w:pPr>
      <w:r>
        <w:rPr>
          <w:rFonts w:ascii="Garamond" w:hAnsi="Garamond"/>
        </w:rPr>
        <w:t xml:space="preserve">In addition, the long-standing the </w:t>
      </w:r>
      <w:r w:rsidR="008419CA">
        <w:rPr>
          <w:rFonts w:ascii="Garamond" w:hAnsi="Garamond"/>
        </w:rPr>
        <w:t>rule that a will execution supervised by an attorney presumptively complies with the statutory formalities</w:t>
      </w:r>
      <w:r w:rsidR="00F63CB3">
        <w:rPr>
          <w:rFonts w:ascii="Garamond" w:hAnsi="Garamond"/>
        </w:rPr>
        <w:t xml:space="preserve"> </w:t>
      </w:r>
      <w:r w:rsidR="00A6208D">
        <w:rPr>
          <w:rFonts w:ascii="Garamond" w:hAnsi="Garamond"/>
        </w:rPr>
        <w:t xml:space="preserve">probably has </w:t>
      </w:r>
      <w:r w:rsidR="000F5811">
        <w:rPr>
          <w:rFonts w:ascii="Garamond" w:hAnsi="Garamond"/>
        </w:rPr>
        <w:t xml:space="preserve">reduced litigation. </w:t>
      </w:r>
    </w:p>
    <w:p w14:paraId="0AA5A5EB" w14:textId="6545DA38" w:rsidR="009512FB" w:rsidRDefault="009512FB" w:rsidP="00DE2679">
      <w:pPr>
        <w:pStyle w:val="NoSpacing"/>
        <w:numPr>
          <w:ilvl w:val="2"/>
          <w:numId w:val="1"/>
        </w:numPr>
        <w:spacing w:before="160"/>
        <w:contextualSpacing w:val="0"/>
        <w:rPr>
          <w:rFonts w:ascii="Garamond" w:hAnsi="Garamond"/>
        </w:rPr>
      </w:pPr>
      <w:r>
        <w:rPr>
          <w:rFonts w:ascii="Garamond" w:hAnsi="Garamond"/>
        </w:rPr>
        <w:t xml:space="preserve">New York, however, is one of the very few United States jurisdictions to retain the interested witness rule, invalidating </w:t>
      </w:r>
      <w:r w:rsidR="005B6106">
        <w:rPr>
          <w:rFonts w:ascii="Garamond" w:hAnsi="Garamond"/>
        </w:rPr>
        <w:t>a disposition in the will to a witness (at least to the extent it exceeds the witness’s intestate share as a distributee of the testator)</w:t>
      </w:r>
      <w:r w:rsidR="008D5F28">
        <w:rPr>
          <w:rFonts w:ascii="Garamond" w:hAnsi="Garamond"/>
        </w:rPr>
        <w:t xml:space="preserve">, EPTL 3-3.2. (For </w:t>
      </w:r>
      <w:r w:rsidR="00F947ED">
        <w:rPr>
          <w:rFonts w:ascii="Garamond" w:hAnsi="Garamond"/>
        </w:rPr>
        <w:t xml:space="preserve">a skillful </w:t>
      </w:r>
      <w:r w:rsidR="009B3574">
        <w:rPr>
          <w:rFonts w:ascii="Garamond" w:hAnsi="Garamond"/>
        </w:rPr>
        <w:t>construction of the statute to avoid a</w:t>
      </w:r>
      <w:r w:rsidR="005C0245">
        <w:rPr>
          <w:rFonts w:ascii="Garamond" w:hAnsi="Garamond"/>
        </w:rPr>
        <w:t>n</w:t>
      </w:r>
      <w:r w:rsidR="009B3574">
        <w:rPr>
          <w:rFonts w:ascii="Garamond" w:hAnsi="Garamond"/>
        </w:rPr>
        <w:t xml:space="preserve"> inequitable disqualification, </w:t>
      </w:r>
      <w:r w:rsidR="009B3574">
        <w:rPr>
          <w:rFonts w:ascii="Garamond" w:hAnsi="Garamond"/>
          <w:i/>
          <w:iCs/>
        </w:rPr>
        <w:t>see</w:t>
      </w:r>
      <w:r w:rsidR="00A33D99">
        <w:rPr>
          <w:rFonts w:ascii="Garamond" w:hAnsi="Garamond"/>
          <w:i/>
          <w:iCs/>
        </w:rPr>
        <w:t>,</w:t>
      </w:r>
      <w:r w:rsidR="009B3574">
        <w:rPr>
          <w:rFonts w:ascii="Garamond" w:hAnsi="Garamond"/>
          <w:i/>
          <w:iCs/>
        </w:rPr>
        <w:t xml:space="preserve"> Matter of Morea</w:t>
      </w:r>
      <w:r w:rsidR="009B3574">
        <w:rPr>
          <w:rFonts w:ascii="Garamond" w:hAnsi="Garamond"/>
        </w:rPr>
        <w:t xml:space="preserve">, </w:t>
      </w:r>
      <w:r w:rsidR="00484FFB">
        <w:rPr>
          <w:rFonts w:ascii="Garamond" w:hAnsi="Garamond"/>
        </w:rPr>
        <w:t xml:space="preserve">169 Misc.2d </w:t>
      </w:r>
      <w:r w:rsidR="00C277C0">
        <w:rPr>
          <w:rFonts w:ascii="Garamond" w:hAnsi="Garamond"/>
        </w:rPr>
        <w:t>415, 645 N.Y.S.2d 1022 (Sur. Ct. Bronx Co. 1996)(per Holtzman, S.)</w:t>
      </w:r>
      <w:r w:rsidR="00A15EBC">
        <w:rPr>
          <w:rFonts w:ascii="Garamond" w:hAnsi="Garamond"/>
        </w:rPr>
        <w:t>)</w:t>
      </w:r>
    </w:p>
    <w:p w14:paraId="2698A8EE" w14:textId="4A3CAC89" w:rsidR="00845723" w:rsidRDefault="00845723" w:rsidP="00637866">
      <w:pPr>
        <w:pStyle w:val="NoSpacing"/>
        <w:numPr>
          <w:ilvl w:val="0"/>
          <w:numId w:val="1"/>
        </w:numPr>
        <w:spacing w:before="160"/>
        <w:contextualSpacing w:val="0"/>
        <w:rPr>
          <w:rFonts w:ascii="Garamond" w:hAnsi="Garamond"/>
        </w:rPr>
      </w:pPr>
      <w:r>
        <w:rPr>
          <w:rFonts w:ascii="Garamond" w:hAnsi="Garamond"/>
        </w:rPr>
        <w:t>The changing nature of the trust</w:t>
      </w:r>
    </w:p>
    <w:p w14:paraId="7FC693DA" w14:textId="17C24E22" w:rsidR="00897843" w:rsidRDefault="003D1516" w:rsidP="00637866">
      <w:pPr>
        <w:pStyle w:val="NoSpacing"/>
        <w:numPr>
          <w:ilvl w:val="1"/>
          <w:numId w:val="1"/>
        </w:numPr>
        <w:spacing w:before="160"/>
        <w:contextualSpacing w:val="0"/>
        <w:rPr>
          <w:rFonts w:ascii="Garamond" w:hAnsi="Garamond"/>
        </w:rPr>
      </w:pPr>
      <w:r>
        <w:rPr>
          <w:rFonts w:ascii="Garamond" w:hAnsi="Garamond"/>
        </w:rPr>
        <w:lastRenderedPageBreak/>
        <w:t>Investments</w:t>
      </w:r>
    </w:p>
    <w:p w14:paraId="41C21D07" w14:textId="73F59353" w:rsidR="004938AF" w:rsidRDefault="00032A5C" w:rsidP="004938AF">
      <w:pPr>
        <w:pStyle w:val="NoSpacing"/>
        <w:numPr>
          <w:ilvl w:val="2"/>
          <w:numId w:val="1"/>
        </w:numPr>
        <w:spacing w:before="160"/>
        <w:contextualSpacing w:val="0"/>
        <w:rPr>
          <w:rFonts w:ascii="Garamond" w:hAnsi="Garamond"/>
        </w:rPr>
      </w:pPr>
      <w:r>
        <w:rPr>
          <w:rFonts w:ascii="Garamond" w:hAnsi="Garamond"/>
        </w:rPr>
        <w:t>For many decades, investments by trustees were governed by the New York “legal list”</w:t>
      </w:r>
      <w:r w:rsidR="00F307D8">
        <w:rPr>
          <w:rFonts w:ascii="Garamond" w:hAnsi="Garamond"/>
        </w:rPr>
        <w:t xml:space="preserve"> concept </w:t>
      </w:r>
      <w:r w:rsidR="00693BE4">
        <w:rPr>
          <w:rFonts w:ascii="Garamond" w:hAnsi="Garamond"/>
        </w:rPr>
        <w:t>born in</w:t>
      </w:r>
      <w:r w:rsidR="004E4D51">
        <w:rPr>
          <w:rFonts w:ascii="Garamond" w:hAnsi="Garamond"/>
        </w:rPr>
        <w:t xml:space="preserve"> the Court of Appeals decision in </w:t>
      </w:r>
      <w:r w:rsidR="004E4D51">
        <w:rPr>
          <w:rFonts w:ascii="Garamond" w:hAnsi="Garamond"/>
          <w:i/>
          <w:iCs/>
        </w:rPr>
        <w:t>King v. Talbot</w:t>
      </w:r>
      <w:r w:rsidR="000A1F92">
        <w:rPr>
          <w:rFonts w:ascii="Garamond" w:hAnsi="Garamond"/>
        </w:rPr>
        <w:t xml:space="preserve">, </w:t>
      </w:r>
      <w:r w:rsidR="00D21C43">
        <w:rPr>
          <w:rFonts w:ascii="Garamond" w:hAnsi="Garamond"/>
        </w:rPr>
        <w:t xml:space="preserve">40 N.Y. </w:t>
      </w:r>
      <w:r w:rsidR="00956DD2">
        <w:rPr>
          <w:rFonts w:ascii="Garamond" w:hAnsi="Garamond"/>
        </w:rPr>
        <w:t>76 (1869)</w:t>
      </w:r>
      <w:r w:rsidR="00C71DAC">
        <w:rPr>
          <w:rFonts w:ascii="Garamond" w:hAnsi="Garamond"/>
        </w:rPr>
        <w:t xml:space="preserve"> which made all stocks and bonds of industrial enterprises imprudent investments.</w:t>
      </w:r>
      <w:r w:rsidR="00C60DAF">
        <w:rPr>
          <w:rFonts w:ascii="Garamond" w:hAnsi="Garamond"/>
        </w:rPr>
        <w:t xml:space="preserve"> </w:t>
      </w:r>
    </w:p>
    <w:p w14:paraId="00689B85" w14:textId="3547639F" w:rsidR="00C60DAF" w:rsidRDefault="007A0841" w:rsidP="004938AF">
      <w:pPr>
        <w:pStyle w:val="NoSpacing"/>
        <w:numPr>
          <w:ilvl w:val="2"/>
          <w:numId w:val="1"/>
        </w:numPr>
        <w:spacing w:before="160"/>
        <w:contextualSpacing w:val="0"/>
        <w:rPr>
          <w:rFonts w:ascii="Garamond" w:hAnsi="Garamond"/>
        </w:rPr>
      </w:pPr>
      <w:r>
        <w:rPr>
          <w:rFonts w:ascii="Garamond" w:hAnsi="Garamond"/>
        </w:rPr>
        <w:t xml:space="preserve">Another view was put forward by the Massachusetts Supreme Judicial Court in </w:t>
      </w:r>
      <w:r w:rsidR="00D2729D">
        <w:rPr>
          <w:rFonts w:ascii="Garamond" w:hAnsi="Garamond"/>
          <w:i/>
          <w:iCs/>
        </w:rPr>
        <w:t>Harvard College v. Amory</w:t>
      </w:r>
      <w:r w:rsidR="00D2729D">
        <w:rPr>
          <w:rFonts w:ascii="Garamond" w:hAnsi="Garamond"/>
        </w:rPr>
        <w:t xml:space="preserve">, </w:t>
      </w:r>
      <w:r w:rsidR="00E85CF4">
        <w:rPr>
          <w:rFonts w:ascii="Garamond" w:hAnsi="Garamond"/>
        </w:rPr>
        <w:t>26 Mass. 446 (1830)</w:t>
      </w:r>
      <w:r w:rsidR="00F50233">
        <w:rPr>
          <w:rFonts w:ascii="Garamond" w:hAnsi="Garamond"/>
        </w:rPr>
        <w:t xml:space="preserve"> which made no particular investment imprudent per se, although the rule was sometimes applied in restrictive ways.</w:t>
      </w:r>
    </w:p>
    <w:p w14:paraId="61831857" w14:textId="073524E1" w:rsidR="003D1516" w:rsidRDefault="00804C0B" w:rsidP="00637866">
      <w:pPr>
        <w:pStyle w:val="NoSpacing"/>
        <w:numPr>
          <w:ilvl w:val="2"/>
          <w:numId w:val="1"/>
        </w:numPr>
        <w:spacing w:before="160"/>
        <w:contextualSpacing w:val="0"/>
        <w:rPr>
          <w:rFonts w:ascii="Garamond" w:hAnsi="Garamond"/>
        </w:rPr>
      </w:pPr>
      <w:r>
        <w:rPr>
          <w:rFonts w:ascii="Garamond" w:hAnsi="Garamond"/>
        </w:rPr>
        <w:t>In 199</w:t>
      </w:r>
      <w:r w:rsidR="002378EA">
        <w:rPr>
          <w:rFonts w:ascii="Garamond" w:hAnsi="Garamond"/>
        </w:rPr>
        <w:t xml:space="preserve">2 the first sections of Restatement (Third) of Trusts ushered in a new world of fiduciary investing by </w:t>
      </w:r>
      <w:r w:rsidR="00B538FB">
        <w:rPr>
          <w:rFonts w:ascii="Garamond" w:hAnsi="Garamond"/>
        </w:rPr>
        <w:t xml:space="preserve">adopting modern portfolio theory which counsels investing based on </w:t>
      </w:r>
      <w:r w:rsidR="004830EB">
        <w:rPr>
          <w:rFonts w:ascii="Garamond" w:hAnsi="Garamond"/>
        </w:rPr>
        <w:t xml:space="preserve">an assessment of </w:t>
      </w:r>
      <w:r w:rsidR="0084581D">
        <w:rPr>
          <w:rFonts w:ascii="Garamond" w:hAnsi="Garamond"/>
        </w:rPr>
        <w:t xml:space="preserve">the level of risk appropriate in light of the purposes for the creation of the trust and needs of the beneficiaries, among other factors. </w:t>
      </w:r>
    </w:p>
    <w:p w14:paraId="1D091AC6" w14:textId="1ADD7DEA" w:rsidR="00492193" w:rsidRDefault="00492193" w:rsidP="00492193">
      <w:pPr>
        <w:pStyle w:val="NoSpacing"/>
        <w:numPr>
          <w:ilvl w:val="3"/>
          <w:numId w:val="1"/>
        </w:numPr>
        <w:spacing w:before="160"/>
        <w:contextualSpacing w:val="0"/>
        <w:rPr>
          <w:rFonts w:ascii="Garamond" w:hAnsi="Garamond"/>
        </w:rPr>
      </w:pPr>
      <w:r>
        <w:rPr>
          <w:rFonts w:ascii="Garamond" w:hAnsi="Garamond"/>
        </w:rPr>
        <w:t xml:space="preserve">The Restatement provision was followed by the </w:t>
      </w:r>
      <w:r w:rsidR="004352E5">
        <w:rPr>
          <w:rFonts w:ascii="Garamond" w:hAnsi="Garamond"/>
        </w:rPr>
        <w:t>Uniform</w:t>
      </w:r>
      <w:r>
        <w:rPr>
          <w:rFonts w:ascii="Garamond" w:hAnsi="Garamond"/>
        </w:rPr>
        <w:t xml:space="preserve"> Prudent Investor Act</w:t>
      </w:r>
      <w:r w:rsidR="004555A4">
        <w:rPr>
          <w:rFonts w:ascii="Garamond" w:hAnsi="Garamond"/>
        </w:rPr>
        <w:t xml:space="preserve"> (UPIA) </w:t>
      </w:r>
      <w:r w:rsidR="004352E5">
        <w:rPr>
          <w:rFonts w:ascii="Garamond" w:hAnsi="Garamond"/>
        </w:rPr>
        <w:t xml:space="preserve">(1994) </w:t>
      </w:r>
      <w:r w:rsidR="000D7AB8">
        <w:rPr>
          <w:rFonts w:ascii="Garamond" w:hAnsi="Garamond"/>
        </w:rPr>
        <w:t xml:space="preserve">which was substantially adopted in New York </w:t>
      </w:r>
      <w:r w:rsidR="00AA6A22">
        <w:rPr>
          <w:rFonts w:ascii="Garamond" w:hAnsi="Garamond"/>
        </w:rPr>
        <w:t>in 1995, EPTL 11-</w:t>
      </w:r>
      <w:r w:rsidR="002A23A1">
        <w:rPr>
          <w:rFonts w:ascii="Garamond" w:hAnsi="Garamond"/>
        </w:rPr>
        <w:t>2.3.</w:t>
      </w:r>
    </w:p>
    <w:p w14:paraId="709F2D1A" w14:textId="77777777" w:rsidR="00B27F0C" w:rsidRPr="00B27F0C" w:rsidRDefault="00573C4A" w:rsidP="00492193">
      <w:pPr>
        <w:pStyle w:val="NoSpacing"/>
        <w:numPr>
          <w:ilvl w:val="3"/>
          <w:numId w:val="1"/>
        </w:numPr>
        <w:spacing w:before="160"/>
        <w:contextualSpacing w:val="0"/>
        <w:rPr>
          <w:rFonts w:ascii="Garamond" w:hAnsi="Garamond"/>
        </w:rPr>
      </w:pPr>
      <w:r>
        <w:rPr>
          <w:rFonts w:ascii="Garamond" w:hAnsi="Garamond"/>
        </w:rPr>
        <w:t xml:space="preserve">In addition to the enacting the prudent investor rule, the </w:t>
      </w:r>
      <w:r w:rsidR="004555A4">
        <w:rPr>
          <w:rFonts w:ascii="Garamond" w:hAnsi="Garamond"/>
        </w:rPr>
        <w:t xml:space="preserve">UPIA </w:t>
      </w:r>
      <w:r w:rsidR="00FC2B00" w:rsidRPr="00FC2B00">
        <w:rPr>
          <w:rFonts w:ascii="Garamond" w:hAnsi="Garamond" w:cs="Calibri"/>
        </w:rPr>
        <w:t>§</w:t>
      </w:r>
      <w:r w:rsidR="00FC2B00">
        <w:rPr>
          <w:rFonts w:ascii="Garamond" w:hAnsi="Garamond" w:cs="Calibri"/>
        </w:rPr>
        <w:t xml:space="preserve"> 9 </w:t>
      </w:r>
      <w:r w:rsidR="004555A4">
        <w:rPr>
          <w:rFonts w:ascii="Garamond" w:hAnsi="Garamond"/>
        </w:rPr>
        <w:t xml:space="preserve">and EPTL 11-2.3(c) include a provision </w:t>
      </w:r>
      <w:r w:rsidR="00FC2B00">
        <w:rPr>
          <w:rFonts w:ascii="Garamond" w:hAnsi="Garamond"/>
        </w:rPr>
        <w:t>allowing a trustee to formally delegate investment or  management functions</w:t>
      </w:r>
      <w:r w:rsidR="005428E0">
        <w:rPr>
          <w:rFonts w:ascii="Garamond" w:hAnsi="Garamond"/>
        </w:rPr>
        <w:t xml:space="preserve"> so long as the trustee </w:t>
      </w:r>
      <w:r w:rsidR="00A81DBC">
        <w:rPr>
          <w:rFonts w:ascii="Garamond" w:hAnsi="Garamond"/>
        </w:rPr>
        <w:t xml:space="preserve">exercises “care, skill, and caution” (UPIA </w:t>
      </w:r>
      <w:r w:rsidR="00A81DBC" w:rsidRPr="00FC2B00">
        <w:rPr>
          <w:rFonts w:ascii="Garamond" w:hAnsi="Garamond" w:cs="Calibri"/>
        </w:rPr>
        <w:t>§</w:t>
      </w:r>
      <w:r w:rsidR="00A81DBC">
        <w:rPr>
          <w:rFonts w:ascii="Garamond" w:hAnsi="Garamond" w:cs="Calibri"/>
        </w:rPr>
        <w:t xml:space="preserve"> 9 modifies these nouns with the adjective “reasonable”)</w:t>
      </w:r>
      <w:r w:rsidR="00320A04">
        <w:rPr>
          <w:rFonts w:ascii="Garamond" w:hAnsi="Garamond" w:cs="Calibri"/>
        </w:rPr>
        <w:t xml:space="preserve"> in selecting</w:t>
      </w:r>
      <w:r w:rsidR="00BB0A46">
        <w:rPr>
          <w:rFonts w:ascii="Garamond" w:hAnsi="Garamond" w:cs="Calibri"/>
        </w:rPr>
        <w:t xml:space="preserve"> and</w:t>
      </w:r>
      <w:r w:rsidR="00320A04">
        <w:rPr>
          <w:rFonts w:ascii="Garamond" w:hAnsi="Garamond" w:cs="Calibri"/>
        </w:rPr>
        <w:t xml:space="preserve"> monitoring</w:t>
      </w:r>
      <w:r w:rsidR="00BB0A46">
        <w:rPr>
          <w:rFonts w:ascii="Garamond" w:hAnsi="Garamond" w:cs="Calibri"/>
        </w:rPr>
        <w:t xml:space="preserve"> the delegee as well as in</w:t>
      </w:r>
      <w:r w:rsidR="00F47207">
        <w:rPr>
          <w:rFonts w:ascii="Garamond" w:hAnsi="Garamond" w:cs="Calibri"/>
        </w:rPr>
        <w:t xml:space="preserve"> establishing the scope and terms of the delegation and in New York, controlling the </w:t>
      </w:r>
      <w:r w:rsidR="00B27F0C">
        <w:rPr>
          <w:rFonts w:ascii="Garamond" w:hAnsi="Garamond" w:cs="Calibri"/>
        </w:rPr>
        <w:t>“overall cost by reason of the delegation.”</w:t>
      </w:r>
    </w:p>
    <w:p w14:paraId="1117C1BB" w14:textId="1A94349C" w:rsidR="00573C4A" w:rsidRDefault="000A15E8" w:rsidP="00492193">
      <w:pPr>
        <w:pStyle w:val="NoSpacing"/>
        <w:numPr>
          <w:ilvl w:val="3"/>
          <w:numId w:val="1"/>
        </w:numPr>
        <w:spacing w:before="160"/>
        <w:contextualSpacing w:val="0"/>
        <w:rPr>
          <w:rFonts w:ascii="Garamond" w:hAnsi="Garamond"/>
        </w:rPr>
      </w:pPr>
      <w:r>
        <w:rPr>
          <w:rFonts w:ascii="Garamond" w:hAnsi="Garamond" w:cs="Calibri"/>
        </w:rPr>
        <w:t xml:space="preserve">This dramatic change in existing law that pretty much forbade delegation of the trustee’s duties </w:t>
      </w:r>
      <w:r w:rsidR="00F6737A">
        <w:rPr>
          <w:rFonts w:ascii="Garamond" w:hAnsi="Garamond" w:cs="Calibri"/>
        </w:rPr>
        <w:t xml:space="preserve">and has given rise to </w:t>
      </w:r>
      <w:r w:rsidR="002B6907">
        <w:rPr>
          <w:rFonts w:ascii="Garamond" w:hAnsi="Garamond" w:cs="Calibri"/>
        </w:rPr>
        <w:t>an entire industry of investment advising for fiduciaries</w:t>
      </w:r>
      <w:r w:rsidR="0013704A">
        <w:rPr>
          <w:rFonts w:ascii="Garamond" w:hAnsi="Garamond" w:cs="Calibri"/>
        </w:rPr>
        <w:t xml:space="preserve">. To a great degree it seems that corporate trustees </w:t>
      </w:r>
      <w:r w:rsidR="005F7A40">
        <w:rPr>
          <w:rFonts w:ascii="Garamond" w:hAnsi="Garamond" w:cs="Calibri"/>
        </w:rPr>
        <w:t>market their investment expertise to individual trustees</w:t>
      </w:r>
      <w:r w:rsidR="0013122E">
        <w:rPr>
          <w:rFonts w:ascii="Garamond" w:hAnsi="Garamond" w:cs="Calibri"/>
        </w:rPr>
        <w:t xml:space="preserve"> rather than necessarily becoming “the trustee.” </w:t>
      </w:r>
      <w:r w:rsidR="00320A04">
        <w:rPr>
          <w:rFonts w:ascii="Garamond" w:hAnsi="Garamond" w:cs="Calibri"/>
        </w:rPr>
        <w:t xml:space="preserve"> </w:t>
      </w:r>
    </w:p>
    <w:p w14:paraId="2D11AC2B" w14:textId="0614E62D" w:rsidR="003D1516" w:rsidRDefault="00B428EA" w:rsidP="00637866">
      <w:pPr>
        <w:pStyle w:val="NoSpacing"/>
        <w:numPr>
          <w:ilvl w:val="2"/>
          <w:numId w:val="1"/>
        </w:numPr>
        <w:spacing w:before="160"/>
        <w:contextualSpacing w:val="0"/>
        <w:rPr>
          <w:rFonts w:ascii="Garamond" w:hAnsi="Garamond"/>
        </w:rPr>
      </w:pPr>
      <w:r>
        <w:rPr>
          <w:rFonts w:ascii="Garamond" w:hAnsi="Garamond"/>
        </w:rPr>
        <w:t>The adoption of the prudent investor standard drove c</w:t>
      </w:r>
      <w:r w:rsidR="00D916A3">
        <w:rPr>
          <w:rFonts w:ascii="Garamond" w:hAnsi="Garamond"/>
        </w:rPr>
        <w:t>hanges in the law governing the allocation of trust receipts between the principal and income accounts</w:t>
      </w:r>
      <w:r w:rsidR="0001688C">
        <w:rPr>
          <w:rFonts w:ascii="Garamond" w:hAnsi="Garamond"/>
        </w:rPr>
        <w:t xml:space="preserve"> and the </w:t>
      </w:r>
      <w:r w:rsidR="00DB6005">
        <w:rPr>
          <w:rFonts w:ascii="Garamond" w:hAnsi="Garamond"/>
        </w:rPr>
        <w:t>very meaning of “income</w:t>
      </w:r>
      <w:r>
        <w:rPr>
          <w:rFonts w:ascii="Garamond" w:hAnsi="Garamond"/>
        </w:rPr>
        <w:t>.</w:t>
      </w:r>
      <w:r w:rsidR="00DB6005">
        <w:rPr>
          <w:rFonts w:ascii="Garamond" w:hAnsi="Garamond"/>
        </w:rPr>
        <w:t>”</w:t>
      </w:r>
      <w:r w:rsidR="00DB1504">
        <w:rPr>
          <w:rFonts w:ascii="Garamond" w:hAnsi="Garamond"/>
        </w:rPr>
        <w:t xml:space="preserve"> </w:t>
      </w:r>
    </w:p>
    <w:p w14:paraId="0727AEC8" w14:textId="30FB4B91" w:rsidR="00BE302B" w:rsidRPr="00F12960" w:rsidRDefault="00BE302B" w:rsidP="00BE302B">
      <w:pPr>
        <w:pStyle w:val="NoSpacing"/>
        <w:numPr>
          <w:ilvl w:val="3"/>
          <w:numId w:val="1"/>
        </w:numPr>
        <w:spacing w:before="160"/>
        <w:contextualSpacing w:val="0"/>
        <w:rPr>
          <w:rFonts w:ascii="Garamond" w:hAnsi="Garamond"/>
        </w:rPr>
      </w:pPr>
      <w:r>
        <w:rPr>
          <w:rFonts w:ascii="Garamond" w:hAnsi="Garamond"/>
        </w:rPr>
        <w:t>Put most simply, investing the trust corpus as a whole to treat current beneficiaries and future beneficiaries impartially as the statute expressly requires</w:t>
      </w:r>
      <w:r w:rsidR="00123950">
        <w:rPr>
          <w:rFonts w:ascii="Garamond" w:hAnsi="Garamond"/>
        </w:rPr>
        <w:t xml:space="preserve"> (UPIA </w:t>
      </w:r>
      <w:r w:rsidR="00123950" w:rsidRPr="00FC2B00">
        <w:rPr>
          <w:rFonts w:ascii="Garamond" w:hAnsi="Garamond" w:cs="Calibri"/>
        </w:rPr>
        <w:t>§</w:t>
      </w:r>
      <w:r w:rsidR="00123950">
        <w:rPr>
          <w:rFonts w:ascii="Garamond" w:hAnsi="Garamond" w:cs="Calibri"/>
        </w:rPr>
        <w:t xml:space="preserve"> 6; EPTL 11-</w:t>
      </w:r>
      <w:r w:rsidR="00301CF6">
        <w:rPr>
          <w:rFonts w:ascii="Garamond" w:hAnsi="Garamond" w:cs="Calibri"/>
        </w:rPr>
        <w:t>2.3</w:t>
      </w:r>
      <w:r w:rsidR="00EB0DF2">
        <w:rPr>
          <w:rFonts w:ascii="Garamond" w:hAnsi="Garamond" w:cs="Calibri"/>
        </w:rPr>
        <w:t>(b)</w:t>
      </w:r>
      <w:r w:rsidR="00053A8F">
        <w:rPr>
          <w:rFonts w:ascii="Garamond" w:hAnsi="Garamond" w:cs="Calibri"/>
        </w:rPr>
        <w:t>(</w:t>
      </w:r>
      <w:r w:rsidR="00656C3A">
        <w:rPr>
          <w:rFonts w:ascii="Garamond" w:hAnsi="Garamond" w:cs="Calibri"/>
        </w:rPr>
        <w:t xml:space="preserve">3), </w:t>
      </w:r>
      <w:r w:rsidR="00EB0DF2">
        <w:rPr>
          <w:rFonts w:ascii="Garamond" w:hAnsi="Garamond" w:cs="Calibri"/>
        </w:rPr>
        <w:t>(4)(B))</w:t>
      </w:r>
      <w:r w:rsidR="00656C3A">
        <w:rPr>
          <w:rFonts w:ascii="Garamond" w:hAnsi="Garamond" w:cs="Calibri"/>
        </w:rPr>
        <w:t xml:space="preserve"> </w:t>
      </w:r>
      <w:r w:rsidR="00745B7E">
        <w:rPr>
          <w:rFonts w:ascii="Garamond" w:hAnsi="Garamond" w:cs="Calibri"/>
        </w:rPr>
        <w:t xml:space="preserve">put trustees in a difficult position </w:t>
      </w:r>
      <w:r w:rsidR="00A140D3">
        <w:rPr>
          <w:rFonts w:ascii="Garamond" w:hAnsi="Garamond" w:cs="Calibri"/>
        </w:rPr>
        <w:t xml:space="preserve">when </w:t>
      </w:r>
      <w:r w:rsidR="00554FA0">
        <w:rPr>
          <w:rFonts w:ascii="Garamond" w:hAnsi="Garamond" w:cs="Calibri"/>
        </w:rPr>
        <w:t xml:space="preserve">stocks appreciated greatly but paid </w:t>
      </w:r>
      <w:r w:rsidR="002C7EAA">
        <w:rPr>
          <w:rFonts w:ascii="Garamond" w:hAnsi="Garamond" w:cs="Calibri"/>
        </w:rPr>
        <w:t>relatively</w:t>
      </w:r>
      <w:r w:rsidR="00554FA0">
        <w:rPr>
          <w:rFonts w:ascii="Garamond" w:hAnsi="Garamond" w:cs="Calibri"/>
        </w:rPr>
        <w:t xml:space="preserve"> small dividends.  Generating sufficient income in trusts that require current beneficiaries receive “income”</w:t>
      </w:r>
      <w:r w:rsidR="000F6733">
        <w:rPr>
          <w:rFonts w:ascii="Garamond" w:hAnsi="Garamond" w:cs="Calibri"/>
        </w:rPr>
        <w:t xml:space="preserve">—whether as a mandate or in the trustee’s discretion—can be difficult when at the same the trustee is trying to make sure that the value of the corpus will </w:t>
      </w:r>
      <w:r w:rsidR="00F12960">
        <w:rPr>
          <w:rFonts w:ascii="Garamond" w:hAnsi="Garamond" w:cs="Calibri"/>
        </w:rPr>
        <w:t>be maintained for future beneficiaries.</w:t>
      </w:r>
    </w:p>
    <w:p w14:paraId="106E1289" w14:textId="03696818" w:rsidR="00F12960" w:rsidRPr="00DB6005" w:rsidRDefault="00F12960" w:rsidP="00BE302B">
      <w:pPr>
        <w:pStyle w:val="NoSpacing"/>
        <w:numPr>
          <w:ilvl w:val="3"/>
          <w:numId w:val="1"/>
        </w:numPr>
        <w:spacing w:before="160"/>
        <w:contextualSpacing w:val="0"/>
        <w:rPr>
          <w:rFonts w:ascii="Garamond" w:hAnsi="Garamond"/>
        </w:rPr>
      </w:pPr>
      <w:r>
        <w:rPr>
          <w:rFonts w:ascii="Garamond" w:hAnsi="Garamond" w:cs="Calibri"/>
        </w:rPr>
        <w:t>The legislature responded in 2001</w:t>
      </w:r>
      <w:r w:rsidR="003E4E5D">
        <w:rPr>
          <w:rFonts w:ascii="Garamond" w:hAnsi="Garamond" w:cs="Calibri"/>
        </w:rPr>
        <w:t xml:space="preserve"> </w:t>
      </w:r>
      <w:r w:rsidR="00DB6005">
        <w:rPr>
          <w:rFonts w:ascii="Garamond" w:hAnsi="Garamond" w:cs="Calibri"/>
        </w:rPr>
        <w:t xml:space="preserve">first </w:t>
      </w:r>
      <w:r w:rsidR="003E4E5D">
        <w:rPr>
          <w:rFonts w:ascii="Garamond" w:hAnsi="Garamond" w:cs="Calibri"/>
        </w:rPr>
        <w:t>by adding subparagraph (b)(5)</w:t>
      </w:r>
      <w:r w:rsidR="00DB6005" w:rsidRPr="00DB6005">
        <w:rPr>
          <w:rFonts w:ascii="Garamond" w:hAnsi="Garamond" w:cs="Calibri"/>
        </w:rPr>
        <w:t xml:space="preserve"> </w:t>
      </w:r>
      <w:r w:rsidR="00DB6005">
        <w:rPr>
          <w:rFonts w:ascii="Garamond" w:hAnsi="Garamond" w:cs="Calibri"/>
        </w:rPr>
        <w:t xml:space="preserve">(L. 2001 c. 243, </w:t>
      </w:r>
      <w:r w:rsidR="00DB6005" w:rsidRPr="00FC2B00">
        <w:rPr>
          <w:rFonts w:ascii="Garamond" w:hAnsi="Garamond" w:cs="Calibri"/>
        </w:rPr>
        <w:t>§</w:t>
      </w:r>
      <w:r w:rsidR="00DB6005">
        <w:rPr>
          <w:rFonts w:ascii="Garamond" w:hAnsi="Garamond" w:cs="Calibri"/>
        </w:rPr>
        <w:t xml:space="preserve"> 1)</w:t>
      </w:r>
      <w:r w:rsidR="003E4E5D">
        <w:rPr>
          <w:rFonts w:ascii="Garamond" w:hAnsi="Garamond" w:cs="Calibri"/>
        </w:rPr>
        <w:t xml:space="preserve"> creating the “power to adjust” which allows trustees to </w:t>
      </w:r>
      <w:r w:rsidR="00436A5D">
        <w:rPr>
          <w:rFonts w:ascii="Garamond" w:hAnsi="Garamond" w:cs="Calibri"/>
        </w:rPr>
        <w:t xml:space="preserve">adjust between the principal and income accounts if the trustee </w:t>
      </w:r>
      <w:r w:rsidR="00C417FF">
        <w:rPr>
          <w:rFonts w:ascii="Garamond" w:hAnsi="Garamond" w:cs="Calibri"/>
        </w:rPr>
        <w:t xml:space="preserve">determines </w:t>
      </w:r>
      <w:r w:rsidR="00C417FF">
        <w:rPr>
          <w:rFonts w:ascii="Garamond" w:hAnsi="Garamond" w:cs="Calibri"/>
        </w:rPr>
        <w:lastRenderedPageBreak/>
        <w:t xml:space="preserve">that </w:t>
      </w:r>
      <w:r w:rsidR="002A0AD8">
        <w:rPr>
          <w:rFonts w:ascii="Garamond" w:hAnsi="Garamond" w:cs="Calibri"/>
        </w:rPr>
        <w:t>“such an adjustment would be fair and reasonable to all of the beneficiaries.”</w:t>
      </w:r>
      <w:r w:rsidR="000E4D4A">
        <w:rPr>
          <w:rFonts w:ascii="Garamond" w:hAnsi="Garamond" w:cs="Calibri"/>
        </w:rPr>
        <w:t xml:space="preserve"> (EPTL </w:t>
      </w:r>
      <w:r w:rsidR="00301CF6">
        <w:rPr>
          <w:rFonts w:ascii="Garamond" w:hAnsi="Garamond" w:cs="Calibri"/>
        </w:rPr>
        <w:t xml:space="preserve">11-2.3-A was enacted at the same time to provide rules for judicial </w:t>
      </w:r>
      <w:r w:rsidR="0001688C">
        <w:rPr>
          <w:rFonts w:ascii="Garamond" w:hAnsi="Garamond" w:cs="Calibri"/>
        </w:rPr>
        <w:t>control of the exercise of the power to adjust.)</w:t>
      </w:r>
    </w:p>
    <w:p w14:paraId="65100996" w14:textId="554DA385" w:rsidR="0049789E" w:rsidRPr="004971BA" w:rsidRDefault="00DB6005" w:rsidP="00144C27">
      <w:pPr>
        <w:pStyle w:val="NoSpacing"/>
        <w:numPr>
          <w:ilvl w:val="3"/>
          <w:numId w:val="1"/>
        </w:numPr>
        <w:spacing w:before="160"/>
        <w:contextualSpacing w:val="0"/>
        <w:rPr>
          <w:rFonts w:ascii="Garamond" w:hAnsi="Garamond"/>
        </w:rPr>
      </w:pPr>
      <w:r>
        <w:rPr>
          <w:rFonts w:ascii="Garamond" w:hAnsi="Garamond"/>
        </w:rPr>
        <w:t xml:space="preserve">The </w:t>
      </w:r>
      <w:r w:rsidR="00267C39">
        <w:rPr>
          <w:rFonts w:ascii="Garamond" w:hAnsi="Garamond"/>
        </w:rPr>
        <w:t xml:space="preserve">legislature </w:t>
      </w:r>
      <w:r w:rsidR="00CC00F5">
        <w:rPr>
          <w:rFonts w:ascii="Garamond" w:hAnsi="Garamond"/>
        </w:rPr>
        <w:t xml:space="preserve">also enacted a second approach to the problem </w:t>
      </w:r>
      <w:r w:rsidR="00625251">
        <w:rPr>
          <w:rFonts w:ascii="Garamond" w:hAnsi="Garamond"/>
        </w:rPr>
        <w:t>with new EPTL 11-2.4 (L. 2001 c. 243,</w:t>
      </w:r>
      <w:r w:rsidR="00625251">
        <w:rPr>
          <w:rFonts w:ascii="Garamond" w:hAnsi="Garamond" w:cs="Calibri"/>
        </w:rPr>
        <w:t xml:space="preserve"> </w:t>
      </w:r>
      <w:r w:rsidR="00625251" w:rsidRPr="00FC2B00">
        <w:rPr>
          <w:rFonts w:ascii="Garamond" w:hAnsi="Garamond" w:cs="Calibri"/>
        </w:rPr>
        <w:t>§</w:t>
      </w:r>
      <w:r w:rsidR="00625251">
        <w:rPr>
          <w:rFonts w:ascii="Garamond" w:hAnsi="Garamond" w:cs="Calibri"/>
        </w:rPr>
        <w:t xml:space="preserve"> 4) creating the statutory unitrust.  Under the </w:t>
      </w:r>
      <w:r w:rsidR="00183A11">
        <w:rPr>
          <w:rFonts w:ascii="Garamond" w:hAnsi="Garamond" w:cs="Calibri"/>
        </w:rPr>
        <w:t xml:space="preserve">section, the default meaning of income of a trust means an amount equal to 4% of the value of the trust property </w:t>
      </w:r>
      <w:r w:rsidR="00773EC2">
        <w:rPr>
          <w:rFonts w:ascii="Garamond" w:hAnsi="Garamond" w:cs="Calibri"/>
        </w:rPr>
        <w:t xml:space="preserve">at the beginning of “the first business day of the current valuation year.”  The section includes rules for opting into and out of unitrust treatment and for </w:t>
      </w:r>
      <w:r w:rsidR="00274563">
        <w:rPr>
          <w:rFonts w:ascii="Garamond" w:hAnsi="Garamond" w:cs="Calibri"/>
        </w:rPr>
        <w:t>calculating the unitrust</w:t>
      </w:r>
      <w:r w:rsidR="00144C27">
        <w:rPr>
          <w:rFonts w:ascii="Garamond" w:hAnsi="Garamond" w:cs="Calibri"/>
        </w:rPr>
        <w:t xml:space="preserve"> amount.</w:t>
      </w:r>
    </w:p>
    <w:p w14:paraId="4E22C458" w14:textId="663EF83E" w:rsidR="004971BA" w:rsidRPr="00F24EE2" w:rsidRDefault="001D14CD" w:rsidP="004971BA">
      <w:pPr>
        <w:pStyle w:val="NoSpacing"/>
        <w:numPr>
          <w:ilvl w:val="2"/>
          <w:numId w:val="1"/>
        </w:numPr>
        <w:spacing w:before="160"/>
        <w:contextualSpacing w:val="0"/>
        <w:rPr>
          <w:rFonts w:ascii="Garamond" w:hAnsi="Garamond"/>
        </w:rPr>
      </w:pPr>
      <w:r>
        <w:rPr>
          <w:rFonts w:ascii="Garamond" w:hAnsi="Garamond" w:cs="Calibri"/>
        </w:rPr>
        <w:t>The changing law of trust investment</w:t>
      </w:r>
      <w:r w:rsidR="00F24EE2">
        <w:rPr>
          <w:rFonts w:ascii="Garamond" w:hAnsi="Garamond" w:cs="Calibri"/>
        </w:rPr>
        <w:t xml:space="preserve"> also contributed to the rise of the “directed trustee” or what is sometimes called “divided trusteeship.”</w:t>
      </w:r>
    </w:p>
    <w:p w14:paraId="08376B43" w14:textId="677DAD15" w:rsidR="00F24EE2" w:rsidRPr="00E36C9E" w:rsidRDefault="00A614C4" w:rsidP="00F24EE2">
      <w:pPr>
        <w:pStyle w:val="NoSpacing"/>
        <w:numPr>
          <w:ilvl w:val="3"/>
          <w:numId w:val="1"/>
        </w:numPr>
        <w:spacing w:before="160"/>
        <w:contextualSpacing w:val="0"/>
        <w:rPr>
          <w:rFonts w:ascii="Garamond" w:hAnsi="Garamond"/>
        </w:rPr>
      </w:pPr>
      <w:r>
        <w:rPr>
          <w:rFonts w:ascii="Garamond" w:hAnsi="Garamond" w:cs="Calibri"/>
        </w:rPr>
        <w:t xml:space="preserve">This now familiar </w:t>
      </w:r>
      <w:r w:rsidR="001A4677">
        <w:rPr>
          <w:rFonts w:ascii="Garamond" w:hAnsi="Garamond" w:cs="Calibri"/>
        </w:rPr>
        <w:t xml:space="preserve">concept allows the creator of a trust to give </w:t>
      </w:r>
      <w:r w:rsidR="00E36C9E">
        <w:rPr>
          <w:rFonts w:ascii="Garamond" w:hAnsi="Garamond" w:cs="Calibri"/>
        </w:rPr>
        <w:t>a person other than the trustee the authority to tell the trustee what to do, for example, to direct the trustee’s investment decisions or distribution decisions.</w:t>
      </w:r>
    </w:p>
    <w:p w14:paraId="6E19FAA9" w14:textId="7C606A97" w:rsidR="00E36C9E" w:rsidRPr="00E0323F" w:rsidRDefault="00E36C9E" w:rsidP="00F24EE2">
      <w:pPr>
        <w:pStyle w:val="NoSpacing"/>
        <w:numPr>
          <w:ilvl w:val="3"/>
          <w:numId w:val="1"/>
        </w:numPr>
        <w:spacing w:before="160"/>
        <w:contextualSpacing w:val="0"/>
        <w:rPr>
          <w:rFonts w:ascii="Garamond" w:hAnsi="Garamond"/>
        </w:rPr>
      </w:pPr>
      <w:r>
        <w:rPr>
          <w:rFonts w:ascii="Garamond" w:hAnsi="Garamond" w:cs="Calibri"/>
        </w:rPr>
        <w:t xml:space="preserve">The </w:t>
      </w:r>
      <w:r w:rsidR="00D2465E">
        <w:rPr>
          <w:rFonts w:ascii="Garamond" w:hAnsi="Garamond" w:cs="Calibri"/>
        </w:rPr>
        <w:t xml:space="preserve">duties of the “trustee” are often limited to record keeping and preparing and filing income tax returns. </w:t>
      </w:r>
    </w:p>
    <w:p w14:paraId="4B546B80" w14:textId="05D133D5" w:rsidR="00E0323F" w:rsidRPr="005A6C46" w:rsidRDefault="00E0323F" w:rsidP="00F24EE2">
      <w:pPr>
        <w:pStyle w:val="NoSpacing"/>
        <w:numPr>
          <w:ilvl w:val="3"/>
          <w:numId w:val="1"/>
        </w:numPr>
        <w:spacing w:before="160"/>
        <w:contextualSpacing w:val="0"/>
        <w:rPr>
          <w:rFonts w:ascii="Garamond" w:hAnsi="Garamond"/>
        </w:rPr>
      </w:pPr>
      <w:r>
        <w:rPr>
          <w:rFonts w:ascii="Garamond" w:hAnsi="Garamond" w:cs="Calibri"/>
        </w:rPr>
        <w:t xml:space="preserve">A more advanced </w:t>
      </w:r>
      <w:r w:rsidR="00096ED7">
        <w:rPr>
          <w:rFonts w:ascii="Garamond" w:hAnsi="Garamond" w:cs="Calibri"/>
        </w:rPr>
        <w:t xml:space="preserve">development is the </w:t>
      </w:r>
      <w:r w:rsidR="006F0740">
        <w:rPr>
          <w:rFonts w:ascii="Garamond" w:hAnsi="Garamond" w:cs="Calibri"/>
        </w:rPr>
        <w:t xml:space="preserve">excluded co-trustee which dispenses with the </w:t>
      </w:r>
      <w:r w:rsidR="00A764AB">
        <w:rPr>
          <w:rFonts w:ascii="Garamond" w:hAnsi="Garamond" w:cs="Calibri"/>
        </w:rPr>
        <w:t>trust director and allows the creator to give one-trustee the authority to make investment decisions while excluding the other trustees from having any responsibility for those decisions</w:t>
      </w:r>
      <w:r w:rsidR="00A0596B">
        <w:rPr>
          <w:rFonts w:ascii="Garamond" w:hAnsi="Garamond" w:cs="Calibri"/>
        </w:rPr>
        <w:t>.</w:t>
      </w:r>
      <w:r w:rsidR="00B032BD">
        <w:rPr>
          <w:rFonts w:ascii="Garamond" w:hAnsi="Garamond" w:cs="Calibri"/>
        </w:rPr>
        <w:t xml:space="preserve"> The first statutory provision is 21 Del. C. </w:t>
      </w:r>
      <w:r w:rsidR="005A6C46">
        <w:rPr>
          <w:rFonts w:ascii="Garamond" w:hAnsi="Garamond" w:cs="Calibri"/>
        </w:rPr>
        <w:t>§ 3133A, enacted in 2017.</w:t>
      </w:r>
    </w:p>
    <w:p w14:paraId="2C5D019C" w14:textId="7F42687A" w:rsidR="005A6C46" w:rsidRPr="00144C27" w:rsidRDefault="005A6C46" w:rsidP="00F24EE2">
      <w:pPr>
        <w:pStyle w:val="NoSpacing"/>
        <w:numPr>
          <w:ilvl w:val="3"/>
          <w:numId w:val="1"/>
        </w:numPr>
        <w:spacing w:before="160"/>
        <w:contextualSpacing w:val="0"/>
        <w:rPr>
          <w:rFonts w:ascii="Garamond" w:hAnsi="Garamond"/>
        </w:rPr>
      </w:pPr>
      <w:r>
        <w:rPr>
          <w:rFonts w:ascii="Garamond" w:hAnsi="Garamond" w:cs="Calibri"/>
        </w:rPr>
        <w:t xml:space="preserve">The New York Trust Code includes </w:t>
      </w:r>
      <w:r w:rsidR="00547DCD">
        <w:rPr>
          <w:rFonts w:ascii="Garamond" w:hAnsi="Garamond" w:cs="Calibri"/>
        </w:rPr>
        <w:t>directed trustee provisions modelled on the Uniform Directed Trustee Act and an excluded trustee provision modelled on the Delaware statute.</w:t>
      </w:r>
    </w:p>
    <w:p w14:paraId="6541B3F3" w14:textId="2EF3526A" w:rsidR="00F928E3" w:rsidRDefault="00F928E3" w:rsidP="00F928E3">
      <w:pPr>
        <w:pStyle w:val="NoSpacing"/>
        <w:numPr>
          <w:ilvl w:val="1"/>
          <w:numId w:val="1"/>
        </w:numPr>
        <w:spacing w:before="160"/>
        <w:contextualSpacing w:val="0"/>
        <w:rPr>
          <w:rFonts w:ascii="Garamond" w:hAnsi="Garamond"/>
        </w:rPr>
      </w:pPr>
      <w:r>
        <w:rPr>
          <w:rFonts w:ascii="Garamond" w:hAnsi="Garamond"/>
        </w:rPr>
        <w:t>The revocable trust as the perfect will subs</w:t>
      </w:r>
      <w:r w:rsidR="002D2622">
        <w:rPr>
          <w:rFonts w:ascii="Garamond" w:hAnsi="Garamond"/>
        </w:rPr>
        <w:t>titute</w:t>
      </w:r>
      <w:r w:rsidR="00417616">
        <w:rPr>
          <w:rFonts w:ascii="Garamond" w:hAnsi="Garamond"/>
        </w:rPr>
        <w:t xml:space="preserve">—among </w:t>
      </w:r>
      <w:r w:rsidR="002C7EAA">
        <w:rPr>
          <w:rFonts w:ascii="Garamond" w:hAnsi="Garamond"/>
        </w:rPr>
        <w:t>others.</w:t>
      </w:r>
    </w:p>
    <w:p w14:paraId="3E8F7554" w14:textId="0006FE46" w:rsidR="00144C27" w:rsidRDefault="00144C27" w:rsidP="00144C27">
      <w:pPr>
        <w:pStyle w:val="NoSpacing"/>
        <w:numPr>
          <w:ilvl w:val="2"/>
          <w:numId w:val="1"/>
        </w:numPr>
        <w:spacing w:before="160"/>
        <w:contextualSpacing w:val="0"/>
        <w:rPr>
          <w:rFonts w:ascii="Garamond" w:hAnsi="Garamond"/>
        </w:rPr>
      </w:pPr>
      <w:r>
        <w:rPr>
          <w:rFonts w:ascii="Garamond" w:hAnsi="Garamond"/>
        </w:rPr>
        <w:t xml:space="preserve">In 1997 the legislature enacted most of the </w:t>
      </w:r>
      <w:r w:rsidR="00577DF9">
        <w:rPr>
          <w:rFonts w:ascii="Garamond" w:hAnsi="Garamond"/>
        </w:rPr>
        <w:t>recommendations of the EPTL Advisory Committee relating to lifetime trusts</w:t>
      </w:r>
      <w:r w:rsidR="0033077E">
        <w:rPr>
          <w:rFonts w:ascii="Garamond" w:hAnsi="Garamond"/>
        </w:rPr>
        <w:t xml:space="preserve"> (L. 1997 c. 139).</w:t>
      </w:r>
    </w:p>
    <w:p w14:paraId="0CE40A05" w14:textId="7A31C52C" w:rsidR="00CC0940" w:rsidRDefault="00CC0940" w:rsidP="00144C27">
      <w:pPr>
        <w:pStyle w:val="NoSpacing"/>
        <w:numPr>
          <w:ilvl w:val="2"/>
          <w:numId w:val="1"/>
        </w:numPr>
        <w:spacing w:before="160"/>
        <w:contextualSpacing w:val="0"/>
        <w:rPr>
          <w:rFonts w:ascii="Garamond" w:hAnsi="Garamond"/>
        </w:rPr>
      </w:pPr>
      <w:r>
        <w:rPr>
          <w:rFonts w:ascii="Garamond" w:hAnsi="Garamond"/>
        </w:rPr>
        <w:t>By modifying the merger rule of EPTL 7-1.1 the legislation made it possible for the creator of revocable lifetime trust to be the sole trustee</w:t>
      </w:r>
      <w:r w:rsidR="00D83715">
        <w:rPr>
          <w:rFonts w:ascii="Garamond" w:hAnsi="Garamond"/>
        </w:rPr>
        <w:t xml:space="preserve">, removing one of the major obstacles to the use of a funded revocable lifetime trust as a will substitute—the preservation of the creator’s privacy. </w:t>
      </w:r>
    </w:p>
    <w:p w14:paraId="75283F5E" w14:textId="585084C5" w:rsidR="002A0DE5" w:rsidRDefault="002A0DE5" w:rsidP="00144C27">
      <w:pPr>
        <w:pStyle w:val="NoSpacing"/>
        <w:numPr>
          <w:ilvl w:val="2"/>
          <w:numId w:val="1"/>
        </w:numPr>
        <w:spacing w:before="160"/>
        <w:contextualSpacing w:val="0"/>
        <w:rPr>
          <w:rFonts w:ascii="Garamond" w:hAnsi="Garamond"/>
        </w:rPr>
      </w:pPr>
      <w:r>
        <w:rPr>
          <w:rFonts w:ascii="Garamond" w:hAnsi="Garamond"/>
        </w:rPr>
        <w:t xml:space="preserve">The other sine qua non for using the revocable trust as a </w:t>
      </w:r>
      <w:r w:rsidR="00F33A9B">
        <w:rPr>
          <w:rFonts w:ascii="Garamond" w:hAnsi="Garamond"/>
        </w:rPr>
        <w:t>will substitute is the inability of the remainder beneficiaries to question the actions of the trustee</w:t>
      </w:r>
      <w:r w:rsidR="00AC1563">
        <w:rPr>
          <w:rFonts w:ascii="Garamond" w:hAnsi="Garamond"/>
        </w:rPr>
        <w:t xml:space="preserve"> while the creator has the power to revoke</w:t>
      </w:r>
      <w:r w:rsidR="007138D2">
        <w:rPr>
          <w:rFonts w:ascii="Garamond" w:hAnsi="Garamond"/>
        </w:rPr>
        <w:t xml:space="preserve">. New York has no statute to that effect (the proposed New York Code does), but </w:t>
      </w:r>
      <w:r w:rsidR="009511F8">
        <w:rPr>
          <w:rFonts w:ascii="Garamond" w:hAnsi="Garamond"/>
        </w:rPr>
        <w:t xml:space="preserve">case law </w:t>
      </w:r>
      <w:r w:rsidR="00566DAD">
        <w:rPr>
          <w:rFonts w:ascii="Garamond" w:hAnsi="Garamond"/>
        </w:rPr>
        <w:t>so holds</w:t>
      </w:r>
      <w:r w:rsidR="003804D8">
        <w:rPr>
          <w:rFonts w:ascii="Garamond" w:hAnsi="Garamond"/>
        </w:rPr>
        <w:t>. The seminal case</w:t>
      </w:r>
      <w:r w:rsidR="00C457F9">
        <w:rPr>
          <w:rFonts w:ascii="Garamond" w:hAnsi="Garamond"/>
        </w:rPr>
        <w:t xml:space="preserve"> is</w:t>
      </w:r>
      <w:r w:rsidR="00566DAD" w:rsidRPr="003804D8">
        <w:rPr>
          <w:rFonts w:ascii="Garamond" w:hAnsi="Garamond"/>
          <w:i/>
          <w:iCs/>
        </w:rPr>
        <w:t xml:space="preserve"> </w:t>
      </w:r>
      <w:r w:rsidR="007943B7" w:rsidRPr="003804D8">
        <w:rPr>
          <w:rFonts w:ascii="Garamond" w:hAnsi="Garamond"/>
          <w:i/>
          <w:iCs/>
        </w:rPr>
        <w:t xml:space="preserve">Matter of Central Hanover Bk &amp; Tr.(Momand), </w:t>
      </w:r>
      <w:r w:rsidR="007943B7" w:rsidRPr="007943B7">
        <w:rPr>
          <w:rFonts w:ascii="Garamond" w:hAnsi="Garamond"/>
        </w:rPr>
        <w:t>176 Misc. 183 (Sur. Ct. New York C</w:t>
      </w:r>
      <w:r w:rsidR="007943B7">
        <w:rPr>
          <w:rFonts w:ascii="Garamond" w:hAnsi="Garamond"/>
        </w:rPr>
        <w:t>o</w:t>
      </w:r>
      <w:r w:rsidR="007943B7" w:rsidRPr="007943B7">
        <w:rPr>
          <w:rFonts w:ascii="Garamond" w:hAnsi="Garamond"/>
        </w:rPr>
        <w:t>. 1941), aff’d. 263 App.Div. 801, 32 N.Y.S.2d 128 (1st Dep’t 1941), aff’d. 288 N.Y. 608, 42 N.E.2d 610 (1942).</w:t>
      </w:r>
      <w:r w:rsidR="003804D8">
        <w:rPr>
          <w:rFonts w:ascii="Garamond" w:hAnsi="Garamond"/>
        </w:rPr>
        <w:t xml:space="preserve"> </w:t>
      </w:r>
      <w:r w:rsidR="003804D8">
        <w:rPr>
          <w:rFonts w:ascii="Garamond" w:hAnsi="Garamond"/>
          <w:i/>
          <w:iCs/>
        </w:rPr>
        <w:t>See also, Matter of Johnson</w:t>
      </w:r>
      <w:r w:rsidR="003804D8">
        <w:rPr>
          <w:rFonts w:ascii="Garamond" w:hAnsi="Garamond"/>
        </w:rPr>
        <w:t xml:space="preserve">, </w:t>
      </w:r>
      <w:r w:rsidR="004D53DF">
        <w:rPr>
          <w:rFonts w:ascii="Garamond" w:hAnsi="Garamond"/>
        </w:rPr>
        <w:t>166 A.D.3d 1435</w:t>
      </w:r>
      <w:r w:rsidR="0040497B">
        <w:rPr>
          <w:rFonts w:ascii="Garamond" w:hAnsi="Garamond"/>
        </w:rPr>
        <w:t>, 89 N.Y.S.3d 377</w:t>
      </w:r>
      <w:r w:rsidR="004D53DF">
        <w:rPr>
          <w:rFonts w:ascii="Garamond" w:hAnsi="Garamond"/>
        </w:rPr>
        <w:t xml:space="preserve"> (3d Dep’t 2018)</w:t>
      </w:r>
      <w:r w:rsidR="00CA2A3D">
        <w:rPr>
          <w:rFonts w:ascii="Garamond" w:hAnsi="Garamond"/>
        </w:rPr>
        <w:t xml:space="preserve">; </w:t>
      </w:r>
      <w:r w:rsidR="00CA2A3D" w:rsidRPr="00376F6F">
        <w:rPr>
          <w:rFonts w:ascii="Garamond" w:hAnsi="Garamond"/>
          <w:i/>
        </w:rPr>
        <w:t>Matter of Malasky</w:t>
      </w:r>
      <w:r w:rsidR="00CA2A3D" w:rsidRPr="00376F6F">
        <w:rPr>
          <w:rFonts w:ascii="Garamond" w:hAnsi="Garamond"/>
        </w:rPr>
        <w:t xml:space="preserve">, 290 A.D.2d 631, 736 N.Y.S.2d 151 (3d Dep’t 2002); </w:t>
      </w:r>
      <w:r w:rsidR="00376F6F" w:rsidRPr="00376F6F">
        <w:rPr>
          <w:rFonts w:ascii="Garamond" w:hAnsi="Garamond"/>
          <w:i/>
        </w:rPr>
        <w:t>Matter of Andrews</w:t>
      </w:r>
      <w:r w:rsidR="00376F6F" w:rsidRPr="00376F6F">
        <w:rPr>
          <w:rFonts w:ascii="Garamond" w:hAnsi="Garamond"/>
        </w:rPr>
        <w:t>, 289 A.D.2d 910, 753 N.Y.S.2d 640 (3d Dep’t 2001).</w:t>
      </w:r>
    </w:p>
    <w:p w14:paraId="6B0EA1A2" w14:textId="315E6B39" w:rsidR="00C92E1E" w:rsidRDefault="003833C9" w:rsidP="00144C27">
      <w:pPr>
        <w:pStyle w:val="NoSpacing"/>
        <w:numPr>
          <w:ilvl w:val="2"/>
          <w:numId w:val="1"/>
        </w:numPr>
        <w:spacing w:before="160"/>
        <w:contextualSpacing w:val="0"/>
        <w:rPr>
          <w:rFonts w:ascii="Garamond" w:hAnsi="Garamond"/>
        </w:rPr>
      </w:pPr>
      <w:r>
        <w:rPr>
          <w:rFonts w:ascii="Garamond" w:hAnsi="Garamond"/>
        </w:rPr>
        <w:lastRenderedPageBreak/>
        <w:t xml:space="preserve">The </w:t>
      </w:r>
      <w:r w:rsidR="000333A7">
        <w:rPr>
          <w:rFonts w:ascii="Garamond" w:hAnsi="Garamond"/>
        </w:rPr>
        <w:t xml:space="preserve">1997 legislation </w:t>
      </w:r>
      <w:r w:rsidR="00C92E1E">
        <w:rPr>
          <w:rFonts w:ascii="Garamond" w:hAnsi="Garamond"/>
        </w:rPr>
        <w:t xml:space="preserve">also enacted rules </w:t>
      </w:r>
      <w:r w:rsidR="002C7EAA">
        <w:rPr>
          <w:rFonts w:ascii="Garamond" w:hAnsi="Garamond"/>
        </w:rPr>
        <w:t>governing.</w:t>
      </w:r>
      <w:r w:rsidR="00C92E1E">
        <w:rPr>
          <w:rFonts w:ascii="Garamond" w:hAnsi="Garamond"/>
        </w:rPr>
        <w:t xml:space="preserve"> </w:t>
      </w:r>
    </w:p>
    <w:p w14:paraId="6288DBA5" w14:textId="01646B95" w:rsidR="003833C9" w:rsidRDefault="00C92E1E" w:rsidP="00C92E1E">
      <w:pPr>
        <w:pStyle w:val="NoSpacing"/>
        <w:numPr>
          <w:ilvl w:val="3"/>
          <w:numId w:val="1"/>
        </w:numPr>
        <w:spacing w:before="160"/>
        <w:contextualSpacing w:val="0"/>
        <w:rPr>
          <w:rFonts w:ascii="Garamond" w:hAnsi="Garamond"/>
        </w:rPr>
      </w:pPr>
      <w:r>
        <w:rPr>
          <w:rFonts w:ascii="Garamond" w:hAnsi="Garamond"/>
        </w:rPr>
        <w:t>The formalities of creating a lifetime trust, EPTL 7-</w:t>
      </w:r>
      <w:r w:rsidR="00A90C5B">
        <w:rPr>
          <w:rFonts w:ascii="Garamond" w:hAnsi="Garamond"/>
        </w:rPr>
        <w:t>1.17</w:t>
      </w:r>
      <w:r w:rsidR="00C84659">
        <w:rPr>
          <w:rFonts w:ascii="Garamond" w:hAnsi="Garamond"/>
        </w:rPr>
        <w:t>(a)</w:t>
      </w:r>
      <w:r w:rsidR="00A90C5B">
        <w:rPr>
          <w:rFonts w:ascii="Garamond" w:hAnsi="Garamond"/>
        </w:rPr>
        <w:t xml:space="preserve"> (signatures of creator and trustee acknowledged before a notary, or witnessed by two witnesses</w:t>
      </w:r>
      <w:r w:rsidR="00EC0A04">
        <w:rPr>
          <w:rFonts w:ascii="Garamond" w:hAnsi="Garamond"/>
        </w:rPr>
        <w:t>)</w:t>
      </w:r>
      <w:r w:rsidR="00941134">
        <w:rPr>
          <w:rFonts w:ascii="Garamond" w:hAnsi="Garamond"/>
        </w:rPr>
        <w:t xml:space="preserve"> (</w:t>
      </w:r>
      <w:r w:rsidR="008449EB">
        <w:rPr>
          <w:rFonts w:ascii="Garamond" w:hAnsi="Garamond"/>
        </w:rPr>
        <w:t>therefore</w:t>
      </w:r>
      <w:r w:rsidR="00941134">
        <w:rPr>
          <w:rFonts w:ascii="Garamond" w:hAnsi="Garamond"/>
        </w:rPr>
        <w:t xml:space="preserve"> it is no longer possible to have an oral trust of personal property)</w:t>
      </w:r>
      <w:r w:rsidR="00C84659">
        <w:rPr>
          <w:rFonts w:ascii="Garamond" w:hAnsi="Garamond"/>
        </w:rPr>
        <w:t>;</w:t>
      </w:r>
    </w:p>
    <w:p w14:paraId="53431365" w14:textId="38E0FFFC" w:rsidR="00C84659" w:rsidRDefault="00A22480" w:rsidP="00C92E1E">
      <w:pPr>
        <w:pStyle w:val="NoSpacing"/>
        <w:numPr>
          <w:ilvl w:val="3"/>
          <w:numId w:val="1"/>
        </w:numPr>
        <w:spacing w:before="160"/>
        <w:contextualSpacing w:val="0"/>
        <w:rPr>
          <w:rFonts w:ascii="Garamond" w:hAnsi="Garamond"/>
        </w:rPr>
      </w:pPr>
      <w:r>
        <w:rPr>
          <w:rFonts w:ascii="Garamond" w:hAnsi="Garamond"/>
        </w:rPr>
        <w:t>Amendment or revocation of a lifetime trust, EPTL 7-1.17(b</w:t>
      </w:r>
      <w:r w:rsidR="0004536C">
        <w:rPr>
          <w:rFonts w:ascii="Garamond" w:hAnsi="Garamond"/>
        </w:rPr>
        <w:t>) (</w:t>
      </w:r>
      <w:r w:rsidR="00EC0A04">
        <w:rPr>
          <w:rFonts w:ascii="Garamond" w:hAnsi="Garamond"/>
        </w:rPr>
        <w:t xml:space="preserve">in writing </w:t>
      </w:r>
      <w:r w:rsidR="008D5F23">
        <w:rPr>
          <w:rFonts w:ascii="Garamond" w:hAnsi="Garamond"/>
        </w:rPr>
        <w:t>and executed by the person authorized to amend or revoke and unless the trust terms provide otherwise, witnesses or acknowledged like the trust instrument);</w:t>
      </w:r>
    </w:p>
    <w:p w14:paraId="1234748A" w14:textId="36BCAFDF" w:rsidR="00941134" w:rsidRDefault="00A13357" w:rsidP="00941134">
      <w:pPr>
        <w:pStyle w:val="NoSpacing"/>
        <w:numPr>
          <w:ilvl w:val="3"/>
          <w:numId w:val="1"/>
        </w:numPr>
        <w:spacing w:before="160"/>
        <w:contextualSpacing w:val="0"/>
        <w:rPr>
          <w:rFonts w:ascii="Garamond" w:hAnsi="Garamond"/>
        </w:rPr>
      </w:pPr>
      <w:r>
        <w:rPr>
          <w:rFonts w:ascii="Garamond" w:hAnsi="Garamond"/>
        </w:rPr>
        <w:t xml:space="preserve">Funding, EPTL 7-1.18 (assets with written title must have that title </w:t>
      </w:r>
      <w:r w:rsidR="002A3B50">
        <w:rPr>
          <w:rFonts w:ascii="Garamond" w:hAnsi="Garamond"/>
        </w:rPr>
        <w:t>changed,</w:t>
      </w:r>
      <w:r w:rsidR="008148D4">
        <w:rPr>
          <w:rFonts w:ascii="Garamond" w:hAnsi="Garamond"/>
        </w:rPr>
        <w:t xml:space="preserve"> otherwise assignment with particularity</w:t>
      </w:r>
      <w:r w:rsidR="002A3B50">
        <w:rPr>
          <w:rFonts w:ascii="Garamond" w:hAnsi="Garamond"/>
        </w:rPr>
        <w:t>)</w:t>
      </w:r>
      <w:r w:rsidR="00941134">
        <w:rPr>
          <w:rFonts w:ascii="Garamond" w:hAnsi="Garamond"/>
        </w:rPr>
        <w:t>.</w:t>
      </w:r>
    </w:p>
    <w:p w14:paraId="47FD936D" w14:textId="2FC60AE1" w:rsidR="00DC1BA5" w:rsidRDefault="00DC1BA5" w:rsidP="00DC1BA5">
      <w:pPr>
        <w:pStyle w:val="NoSpacing"/>
        <w:numPr>
          <w:ilvl w:val="2"/>
          <w:numId w:val="1"/>
        </w:numPr>
        <w:spacing w:before="160"/>
        <w:contextualSpacing w:val="0"/>
        <w:rPr>
          <w:rFonts w:ascii="Garamond" w:hAnsi="Garamond"/>
        </w:rPr>
      </w:pPr>
      <w:r>
        <w:rPr>
          <w:rFonts w:ascii="Garamond" w:hAnsi="Garamond"/>
        </w:rPr>
        <w:t>The legislature did not adopt the Commission’s suggestions for statutes governing the procedures for challenging the validity of lifetime trusts</w:t>
      </w:r>
      <w:r w:rsidR="00CA558B">
        <w:rPr>
          <w:rFonts w:ascii="Garamond" w:hAnsi="Garamond"/>
        </w:rPr>
        <w:t xml:space="preserve"> or creating rules for no-contest clauses in lifetime trusts.  The former provision has been incorporated into the New York Trust Code.</w:t>
      </w:r>
    </w:p>
    <w:p w14:paraId="3F6F9394" w14:textId="79E3BD0A" w:rsidR="00A41B20" w:rsidRDefault="00A41B20" w:rsidP="00DC1BA5">
      <w:pPr>
        <w:pStyle w:val="NoSpacing"/>
        <w:numPr>
          <w:ilvl w:val="2"/>
          <w:numId w:val="1"/>
        </w:numPr>
        <w:spacing w:before="160"/>
        <w:contextualSpacing w:val="0"/>
        <w:rPr>
          <w:rFonts w:ascii="Garamond" w:hAnsi="Garamond"/>
        </w:rPr>
      </w:pPr>
      <w:r>
        <w:rPr>
          <w:rFonts w:ascii="Garamond" w:hAnsi="Garamond"/>
        </w:rPr>
        <w:t xml:space="preserve">And the rise of the revocable trust </w:t>
      </w:r>
      <w:r w:rsidR="00417616">
        <w:rPr>
          <w:rFonts w:ascii="Garamond" w:hAnsi="Garamond"/>
        </w:rPr>
        <w:t>illustrates the more general growth of non-probate property arrangements</w:t>
      </w:r>
      <w:r w:rsidR="00AD53F0">
        <w:rPr>
          <w:rFonts w:ascii="Garamond" w:hAnsi="Garamond"/>
        </w:rPr>
        <w:t>.</w:t>
      </w:r>
    </w:p>
    <w:p w14:paraId="6EC33593" w14:textId="6FF5B93A" w:rsidR="00AD53F0" w:rsidRDefault="00AD53F0" w:rsidP="00AD53F0">
      <w:pPr>
        <w:pStyle w:val="NoSpacing"/>
        <w:numPr>
          <w:ilvl w:val="3"/>
          <w:numId w:val="1"/>
        </w:numPr>
        <w:spacing w:before="160"/>
        <w:contextualSpacing w:val="0"/>
        <w:rPr>
          <w:rFonts w:ascii="Garamond" w:hAnsi="Garamond"/>
        </w:rPr>
      </w:pPr>
      <w:r>
        <w:rPr>
          <w:rFonts w:ascii="Garamond" w:hAnsi="Garamond"/>
        </w:rPr>
        <w:t xml:space="preserve">These are “perfect” will substitutes because the by creating the owner of the property retains all the economic benefits of the property, has complete freedom to undue the arrangement, and the beneficiary has no rights in the property until the death of the owner. </w:t>
      </w:r>
    </w:p>
    <w:p w14:paraId="113194ED" w14:textId="36193B00" w:rsidR="002A3B50" w:rsidRDefault="00EF41B1" w:rsidP="00AD53F0">
      <w:pPr>
        <w:pStyle w:val="NoSpacing"/>
        <w:numPr>
          <w:ilvl w:val="3"/>
          <w:numId w:val="1"/>
        </w:numPr>
        <w:spacing w:before="160"/>
        <w:contextualSpacing w:val="0"/>
        <w:rPr>
          <w:rFonts w:ascii="Garamond" w:hAnsi="Garamond"/>
        </w:rPr>
      </w:pPr>
      <w:r>
        <w:rPr>
          <w:rFonts w:ascii="Garamond" w:hAnsi="Garamond"/>
        </w:rPr>
        <w:t xml:space="preserve">Compare to </w:t>
      </w:r>
      <w:r w:rsidR="002A4A7A">
        <w:rPr>
          <w:rFonts w:ascii="Garamond" w:hAnsi="Garamond"/>
        </w:rPr>
        <w:t>the right to partition a joint tenancy with right of survivorship.</w:t>
      </w:r>
    </w:p>
    <w:p w14:paraId="7F9D8904" w14:textId="73A5CF3A" w:rsidR="00654AEA" w:rsidRPr="00E66671" w:rsidRDefault="00654AEA" w:rsidP="00AD53F0">
      <w:pPr>
        <w:pStyle w:val="NoSpacing"/>
        <w:numPr>
          <w:ilvl w:val="3"/>
          <w:numId w:val="1"/>
        </w:numPr>
        <w:spacing w:before="160"/>
        <w:contextualSpacing w:val="0"/>
        <w:rPr>
          <w:rFonts w:ascii="Garamond" w:hAnsi="Garamond"/>
        </w:rPr>
      </w:pPr>
      <w:r>
        <w:rPr>
          <w:rFonts w:ascii="Garamond" w:hAnsi="Garamond"/>
        </w:rPr>
        <w:t>The Uniform Transfer on Death</w:t>
      </w:r>
      <w:r w:rsidR="002530D4">
        <w:rPr>
          <w:rFonts w:ascii="Garamond" w:hAnsi="Garamond"/>
        </w:rPr>
        <w:t xml:space="preserve"> Security Registration Act </w:t>
      </w:r>
      <w:r w:rsidR="00923D6A">
        <w:rPr>
          <w:rFonts w:ascii="Garamond" w:hAnsi="Garamond"/>
        </w:rPr>
        <w:t xml:space="preserve">(1989/1998) </w:t>
      </w:r>
      <w:r w:rsidR="008D3FB5">
        <w:rPr>
          <w:rFonts w:ascii="Garamond" w:hAnsi="Garamond"/>
        </w:rPr>
        <w:t>was enacted by the legislature in 2005 (</w:t>
      </w:r>
      <w:r w:rsidR="00850D34">
        <w:rPr>
          <w:rFonts w:ascii="Garamond" w:hAnsi="Garamond"/>
        </w:rPr>
        <w:t xml:space="preserve">L.2005, c.325 </w:t>
      </w:r>
      <w:r w:rsidR="00850D34" w:rsidRPr="00850D34">
        <w:rPr>
          <w:rFonts w:ascii="Garamond" w:hAnsi="Garamond" w:cs="Calibri"/>
        </w:rPr>
        <w:t>§</w:t>
      </w:r>
      <w:r w:rsidR="00850D34">
        <w:rPr>
          <w:rFonts w:ascii="Garamond" w:hAnsi="Garamond" w:cs="Calibri"/>
        </w:rPr>
        <w:t xml:space="preserve"> 2) effective January 1, 2006. </w:t>
      </w:r>
      <w:r w:rsidR="00E73D85">
        <w:rPr>
          <w:rFonts w:ascii="Garamond" w:hAnsi="Garamond" w:cs="Calibri"/>
        </w:rPr>
        <w:t xml:space="preserve">The enactment allows </w:t>
      </w:r>
      <w:r w:rsidR="009A646D">
        <w:rPr>
          <w:rFonts w:ascii="Garamond" w:hAnsi="Garamond" w:cs="Calibri"/>
        </w:rPr>
        <w:t xml:space="preserve">a TOD designation not only for individual securities, but for brokerage accounts. </w:t>
      </w:r>
      <w:r w:rsidR="00E66671">
        <w:rPr>
          <w:rFonts w:ascii="Garamond" w:hAnsi="Garamond" w:cs="Calibri"/>
        </w:rPr>
        <w:t>(Adopted in all the states except Louisiana and Texas</w:t>
      </w:r>
      <w:r w:rsidR="008D1980">
        <w:rPr>
          <w:rFonts w:ascii="Garamond" w:hAnsi="Garamond" w:cs="Calibri"/>
        </w:rPr>
        <w:t xml:space="preserve"> and incorporated into the UPC</w:t>
      </w:r>
      <w:r w:rsidR="00E66671">
        <w:rPr>
          <w:rFonts w:ascii="Garamond" w:hAnsi="Garamond" w:cs="Calibri"/>
        </w:rPr>
        <w:t>)</w:t>
      </w:r>
    </w:p>
    <w:p w14:paraId="3A293E71" w14:textId="012AD5CA" w:rsidR="00E66671" w:rsidRPr="00250440" w:rsidRDefault="00E66671" w:rsidP="00AD53F0">
      <w:pPr>
        <w:pStyle w:val="NoSpacing"/>
        <w:numPr>
          <w:ilvl w:val="3"/>
          <w:numId w:val="1"/>
        </w:numPr>
        <w:spacing w:before="160"/>
        <w:contextualSpacing w:val="0"/>
        <w:rPr>
          <w:rFonts w:ascii="Garamond" w:hAnsi="Garamond"/>
        </w:rPr>
      </w:pPr>
      <w:r>
        <w:rPr>
          <w:rFonts w:ascii="Garamond" w:hAnsi="Garamond" w:cs="Calibri"/>
        </w:rPr>
        <w:t xml:space="preserve">Although not adopted in New York, the </w:t>
      </w:r>
      <w:r w:rsidR="008D1980">
        <w:rPr>
          <w:rFonts w:ascii="Garamond" w:hAnsi="Garamond" w:cs="Calibri"/>
        </w:rPr>
        <w:t xml:space="preserve">Uniform </w:t>
      </w:r>
      <w:r w:rsidR="005F0E67">
        <w:rPr>
          <w:rFonts w:ascii="Garamond" w:hAnsi="Garamond" w:cs="Calibri"/>
        </w:rPr>
        <w:t xml:space="preserve">Real Property </w:t>
      </w:r>
      <w:r w:rsidR="008D1980">
        <w:rPr>
          <w:rFonts w:ascii="Garamond" w:hAnsi="Garamond" w:cs="Calibri"/>
        </w:rPr>
        <w:t>Transfer on Death Act</w:t>
      </w:r>
      <w:r w:rsidR="009B4399">
        <w:rPr>
          <w:rFonts w:ascii="Garamond" w:hAnsi="Garamond" w:cs="Calibri"/>
        </w:rPr>
        <w:t xml:space="preserve"> (2009) validates the classic invalid will substitute—a deed intended to take effect only at the death of the grantor. </w:t>
      </w:r>
      <w:r w:rsidR="00A55C8E">
        <w:rPr>
          <w:rFonts w:ascii="Garamond" w:hAnsi="Garamond" w:cs="Calibri"/>
        </w:rPr>
        <w:t xml:space="preserve">(Adopted in </w:t>
      </w:r>
      <w:r w:rsidR="0055520F">
        <w:rPr>
          <w:rFonts w:ascii="Garamond" w:hAnsi="Garamond" w:cs="Calibri"/>
        </w:rPr>
        <w:t>18 states and the Virgin Islands and incorporated into the UPC)</w:t>
      </w:r>
    </w:p>
    <w:p w14:paraId="13322B90" w14:textId="3D71EFBC" w:rsidR="00250440" w:rsidRPr="00941134" w:rsidRDefault="00250440" w:rsidP="00250440">
      <w:pPr>
        <w:pStyle w:val="NoSpacing"/>
        <w:numPr>
          <w:ilvl w:val="2"/>
          <w:numId w:val="1"/>
        </w:numPr>
        <w:spacing w:before="160"/>
        <w:contextualSpacing w:val="0"/>
        <w:rPr>
          <w:rFonts w:ascii="Garamond" w:hAnsi="Garamond"/>
        </w:rPr>
      </w:pPr>
      <w:r>
        <w:rPr>
          <w:rFonts w:ascii="Garamond" w:hAnsi="Garamond" w:cs="Calibri"/>
        </w:rPr>
        <w:t>Does the will have a future? Not so long ago, the answer was “no”</w:t>
      </w:r>
      <w:r w:rsidR="005928CB">
        <w:rPr>
          <w:rFonts w:ascii="Garamond" w:hAnsi="Garamond" w:cs="Calibri"/>
        </w:rPr>
        <w:t>—</w:t>
      </w:r>
      <w:r>
        <w:rPr>
          <w:rFonts w:ascii="Garamond" w:hAnsi="Garamond" w:cs="Calibri"/>
        </w:rPr>
        <w:t>non</w:t>
      </w:r>
      <w:r w:rsidR="005928CB">
        <w:rPr>
          <w:rFonts w:ascii="Garamond" w:hAnsi="Garamond" w:cs="Calibri"/>
        </w:rPr>
        <w:t>-probate property arrangements were expected to take over the world.  But just as that idea become a truis</w:t>
      </w:r>
      <w:r w:rsidR="00533DA5">
        <w:rPr>
          <w:rFonts w:ascii="Garamond" w:hAnsi="Garamond" w:cs="Calibri"/>
        </w:rPr>
        <w:t xml:space="preserve">m, the rise of the internet made possible “every testator their own lawyer.” </w:t>
      </w:r>
      <w:r w:rsidR="00B81A8D">
        <w:rPr>
          <w:rFonts w:ascii="Garamond" w:hAnsi="Garamond" w:cs="Calibri"/>
        </w:rPr>
        <w:t xml:space="preserve">And who knows what </w:t>
      </w:r>
      <w:r w:rsidR="00A711DB">
        <w:rPr>
          <w:rFonts w:ascii="Garamond" w:hAnsi="Garamond" w:cs="Calibri"/>
        </w:rPr>
        <w:t xml:space="preserve">coming years </w:t>
      </w:r>
      <w:r w:rsidR="00B81A8D">
        <w:rPr>
          <w:rFonts w:ascii="Garamond" w:hAnsi="Garamond" w:cs="Calibri"/>
        </w:rPr>
        <w:t xml:space="preserve">will bring as generative AI becomes </w:t>
      </w:r>
      <w:r w:rsidR="006F51F8">
        <w:rPr>
          <w:rFonts w:ascii="Garamond" w:hAnsi="Garamond" w:cs="Calibri"/>
        </w:rPr>
        <w:t xml:space="preserve">a regular part of life. </w:t>
      </w:r>
    </w:p>
    <w:p w14:paraId="2C8F85C6" w14:textId="252DE451" w:rsidR="00201259" w:rsidRDefault="00201259" w:rsidP="00637866">
      <w:pPr>
        <w:pStyle w:val="NoSpacing"/>
        <w:numPr>
          <w:ilvl w:val="1"/>
          <w:numId w:val="1"/>
        </w:numPr>
        <w:spacing w:before="160"/>
        <w:contextualSpacing w:val="0"/>
        <w:rPr>
          <w:rFonts w:ascii="Garamond" w:hAnsi="Garamond"/>
        </w:rPr>
      </w:pPr>
      <w:r>
        <w:rPr>
          <w:rFonts w:ascii="Garamond" w:hAnsi="Garamond"/>
        </w:rPr>
        <w:t>Modification, reformation, decanting</w:t>
      </w:r>
      <w:r w:rsidR="000751BC">
        <w:rPr>
          <w:rFonts w:ascii="Garamond" w:hAnsi="Garamond"/>
        </w:rPr>
        <w:t>—grantor control</w:t>
      </w:r>
    </w:p>
    <w:p w14:paraId="5B639D2F" w14:textId="1839D374" w:rsidR="00B44165" w:rsidRDefault="00691684" w:rsidP="00B44165">
      <w:pPr>
        <w:pStyle w:val="NoSpacing"/>
        <w:numPr>
          <w:ilvl w:val="2"/>
          <w:numId w:val="1"/>
        </w:numPr>
        <w:spacing w:before="160"/>
        <w:contextualSpacing w:val="0"/>
        <w:rPr>
          <w:rFonts w:ascii="Garamond" w:hAnsi="Garamond"/>
        </w:rPr>
      </w:pPr>
      <w:r>
        <w:rPr>
          <w:rFonts w:ascii="Garamond" w:hAnsi="Garamond"/>
        </w:rPr>
        <w:lastRenderedPageBreak/>
        <w:t xml:space="preserve">Irrevocable trusts are </w:t>
      </w:r>
      <w:r w:rsidR="002C30AF">
        <w:rPr>
          <w:rFonts w:ascii="Garamond" w:hAnsi="Garamond"/>
        </w:rPr>
        <w:t>irrevocable--unless</w:t>
      </w:r>
      <w:r>
        <w:rPr>
          <w:rFonts w:ascii="Garamond" w:hAnsi="Garamond"/>
        </w:rPr>
        <w:t xml:space="preserve"> they’re not. Over the last decades</w:t>
      </w:r>
      <w:r w:rsidR="00397FE4">
        <w:rPr>
          <w:rFonts w:ascii="Garamond" w:hAnsi="Garamond"/>
        </w:rPr>
        <w:t xml:space="preserve"> U.S. law has</w:t>
      </w:r>
      <w:r w:rsidR="006466C2">
        <w:rPr>
          <w:rFonts w:ascii="Garamond" w:hAnsi="Garamond"/>
        </w:rPr>
        <w:t xml:space="preserve"> changed to allow more ways to change if not </w:t>
      </w:r>
      <w:r w:rsidR="006262C6">
        <w:rPr>
          <w:rFonts w:ascii="Garamond" w:hAnsi="Garamond"/>
        </w:rPr>
        <w:t xml:space="preserve">terminate otherwise revocable trusts. </w:t>
      </w:r>
    </w:p>
    <w:p w14:paraId="706218BD" w14:textId="130F6E91" w:rsidR="00C2009D" w:rsidRDefault="00C2009D" w:rsidP="00B44165">
      <w:pPr>
        <w:pStyle w:val="NoSpacing"/>
        <w:numPr>
          <w:ilvl w:val="2"/>
          <w:numId w:val="1"/>
        </w:numPr>
        <w:spacing w:before="160"/>
        <w:contextualSpacing w:val="0"/>
        <w:rPr>
          <w:rFonts w:ascii="Garamond" w:hAnsi="Garamond"/>
        </w:rPr>
      </w:pPr>
      <w:r>
        <w:rPr>
          <w:rFonts w:ascii="Garamond" w:hAnsi="Garamond"/>
        </w:rPr>
        <w:t>Modification</w:t>
      </w:r>
    </w:p>
    <w:p w14:paraId="690F3798" w14:textId="50E54E5F" w:rsidR="007D3452" w:rsidRDefault="0077509A" w:rsidP="0077509A">
      <w:pPr>
        <w:pStyle w:val="NoSpacing"/>
        <w:numPr>
          <w:ilvl w:val="3"/>
          <w:numId w:val="1"/>
        </w:numPr>
        <w:spacing w:before="160"/>
        <w:contextualSpacing w:val="0"/>
        <w:rPr>
          <w:rFonts w:ascii="Garamond" w:hAnsi="Garamond"/>
        </w:rPr>
      </w:pPr>
      <w:r>
        <w:rPr>
          <w:rFonts w:ascii="Garamond" w:hAnsi="Garamond"/>
        </w:rPr>
        <w:t>The only statutory provision for modification of an irrevocable trust</w:t>
      </w:r>
      <w:r w:rsidR="00D825BE">
        <w:rPr>
          <w:rFonts w:ascii="Garamond" w:hAnsi="Garamond"/>
        </w:rPr>
        <w:t xml:space="preserve"> is EPTL 7-1.6 which since 1966 has allowed </w:t>
      </w:r>
      <w:r w:rsidR="005D329B">
        <w:rPr>
          <w:rFonts w:ascii="Garamond" w:hAnsi="Garamond"/>
        </w:rPr>
        <w:t xml:space="preserve">the court to </w:t>
      </w:r>
      <w:r w:rsidR="0001038D">
        <w:rPr>
          <w:rFonts w:ascii="Garamond" w:hAnsi="Garamond"/>
        </w:rPr>
        <w:t xml:space="preserve">make application of principal to the income beneficiary of a trust </w:t>
      </w:r>
      <w:r w:rsidR="00D825BE">
        <w:rPr>
          <w:rFonts w:ascii="Garamond" w:hAnsi="Garamond"/>
        </w:rPr>
        <w:t>trustee under certain circumstances</w:t>
      </w:r>
      <w:r w:rsidR="0005145C">
        <w:rPr>
          <w:rFonts w:ascii="Garamond" w:hAnsi="Garamond"/>
        </w:rPr>
        <w:t xml:space="preserve"> after a </w:t>
      </w:r>
      <w:r w:rsidR="007D3452">
        <w:rPr>
          <w:rFonts w:ascii="Garamond" w:hAnsi="Garamond"/>
        </w:rPr>
        <w:t xml:space="preserve">hearing on notice to those beneficially interested. </w:t>
      </w:r>
    </w:p>
    <w:p w14:paraId="3D6DC437" w14:textId="3F7F632A" w:rsidR="0077509A" w:rsidRDefault="007D3452" w:rsidP="0077509A">
      <w:pPr>
        <w:pStyle w:val="NoSpacing"/>
        <w:numPr>
          <w:ilvl w:val="3"/>
          <w:numId w:val="1"/>
        </w:numPr>
        <w:spacing w:before="160"/>
        <w:contextualSpacing w:val="0"/>
        <w:rPr>
          <w:rFonts w:ascii="Garamond" w:hAnsi="Garamond"/>
        </w:rPr>
      </w:pPr>
      <w:r>
        <w:rPr>
          <w:rFonts w:ascii="Garamond" w:hAnsi="Garamond"/>
        </w:rPr>
        <w:t xml:space="preserve">New York has also </w:t>
      </w:r>
      <w:r w:rsidR="0058506C">
        <w:rPr>
          <w:rFonts w:ascii="Garamond" w:hAnsi="Garamond"/>
        </w:rPr>
        <w:t>codified what some at least believe is an aspect of the general law of trusts, the ability of the creator of a revocable to amend or revoke with trust with the consent of the beneficiaries, EPTL 7-1.9.</w:t>
      </w:r>
      <w:r w:rsidR="00D825BE">
        <w:rPr>
          <w:rFonts w:ascii="Garamond" w:hAnsi="Garamond"/>
        </w:rPr>
        <w:t xml:space="preserve"> </w:t>
      </w:r>
    </w:p>
    <w:p w14:paraId="7FD4827E" w14:textId="78F4582C" w:rsidR="00C2009D" w:rsidRDefault="002C30AF" w:rsidP="00C2009D">
      <w:pPr>
        <w:pStyle w:val="NoSpacing"/>
        <w:numPr>
          <w:ilvl w:val="3"/>
          <w:numId w:val="1"/>
        </w:numPr>
        <w:spacing w:before="160"/>
        <w:contextualSpacing w:val="0"/>
        <w:rPr>
          <w:rFonts w:ascii="Garamond" w:hAnsi="Garamond"/>
        </w:rPr>
      </w:pPr>
      <w:r>
        <w:rPr>
          <w:rFonts w:ascii="Garamond" w:hAnsi="Garamond"/>
        </w:rPr>
        <w:t>Traditionally, modification</w:t>
      </w:r>
      <w:r w:rsidR="00405E7B">
        <w:rPr>
          <w:rFonts w:ascii="Garamond" w:hAnsi="Garamond"/>
        </w:rPr>
        <w:t xml:space="preserve"> of the administrative terms of an irrevocable trust</w:t>
      </w:r>
      <w:r w:rsidR="002C7EAA">
        <w:rPr>
          <w:rFonts w:ascii="Garamond" w:hAnsi="Garamond"/>
        </w:rPr>
        <w:t>— “</w:t>
      </w:r>
      <w:r w:rsidR="00405E7B">
        <w:rPr>
          <w:rFonts w:ascii="Garamond" w:hAnsi="Garamond"/>
        </w:rPr>
        <w:t xml:space="preserve">equitable deviation”—has been limited to dire situations in which a failure to </w:t>
      </w:r>
      <w:r w:rsidR="00E06C66">
        <w:rPr>
          <w:rFonts w:ascii="Garamond" w:hAnsi="Garamond"/>
        </w:rPr>
        <w:t xml:space="preserve">do so will lead to the destruction of the trust.  The classic case is </w:t>
      </w:r>
      <w:r w:rsidR="00E06C66">
        <w:rPr>
          <w:rFonts w:ascii="Garamond" w:hAnsi="Garamond"/>
          <w:i/>
          <w:iCs/>
        </w:rPr>
        <w:t>Matter of Pul</w:t>
      </w:r>
      <w:r w:rsidR="000479FA">
        <w:rPr>
          <w:rFonts w:ascii="Garamond" w:hAnsi="Garamond"/>
          <w:i/>
          <w:iCs/>
        </w:rPr>
        <w:t>itzer</w:t>
      </w:r>
      <w:r w:rsidR="000E72F9">
        <w:rPr>
          <w:rFonts w:ascii="Garamond" w:hAnsi="Garamond"/>
        </w:rPr>
        <w:t xml:space="preserve">, </w:t>
      </w:r>
      <w:r w:rsidR="0095587C">
        <w:rPr>
          <w:rFonts w:ascii="Garamond" w:hAnsi="Garamond"/>
        </w:rPr>
        <w:t xml:space="preserve">139 Misc. 575, 249 N.Y.S. 87 (Sur. Ct. New York Co. </w:t>
      </w:r>
      <w:r w:rsidR="003258BE">
        <w:rPr>
          <w:rFonts w:ascii="Garamond" w:hAnsi="Garamond"/>
        </w:rPr>
        <w:t xml:space="preserve">1931, </w:t>
      </w:r>
      <w:r w:rsidR="003258BE">
        <w:rPr>
          <w:rFonts w:ascii="Garamond" w:hAnsi="Garamond"/>
          <w:i/>
          <w:iCs/>
        </w:rPr>
        <w:t>aff’d</w:t>
      </w:r>
      <w:r w:rsidR="003258BE">
        <w:rPr>
          <w:rFonts w:ascii="Garamond" w:hAnsi="Garamond"/>
        </w:rPr>
        <w:t xml:space="preserve"> 237 A.D. 808</w:t>
      </w:r>
      <w:r w:rsidR="00D73538">
        <w:rPr>
          <w:rFonts w:ascii="Garamond" w:hAnsi="Garamond"/>
        </w:rPr>
        <w:t xml:space="preserve">, </w:t>
      </w:r>
      <w:r w:rsidR="00BD309D">
        <w:rPr>
          <w:rFonts w:ascii="Garamond" w:hAnsi="Garamond"/>
        </w:rPr>
        <w:t>260 N.Y.S. 975 (1</w:t>
      </w:r>
      <w:r w:rsidR="00BD309D" w:rsidRPr="00BD309D">
        <w:rPr>
          <w:rFonts w:ascii="Garamond" w:hAnsi="Garamond"/>
          <w:vertAlign w:val="superscript"/>
        </w:rPr>
        <w:t>ST</w:t>
      </w:r>
      <w:r w:rsidR="00BD309D">
        <w:rPr>
          <w:rFonts w:ascii="Garamond" w:hAnsi="Garamond"/>
        </w:rPr>
        <w:t xml:space="preserve"> Dep’t 1932); </w:t>
      </w:r>
      <w:r w:rsidR="00BD309D">
        <w:rPr>
          <w:rFonts w:ascii="Garamond" w:hAnsi="Garamond"/>
          <w:i/>
          <w:iCs/>
        </w:rPr>
        <w:t xml:space="preserve">cf </w:t>
      </w:r>
      <w:r w:rsidR="00A6776C" w:rsidRPr="00A6776C">
        <w:rPr>
          <w:rFonts w:ascii="Garamond" w:hAnsi="Garamond"/>
          <w:i/>
          <w:iCs/>
        </w:rPr>
        <w:t xml:space="preserve">Matter of Smathers, </w:t>
      </w:r>
      <w:r w:rsidR="00A6776C" w:rsidRPr="00A6776C">
        <w:rPr>
          <w:rFonts w:ascii="Garamond" w:hAnsi="Garamond"/>
        </w:rPr>
        <w:t>19 Misc. 3d 337</w:t>
      </w:r>
      <w:r w:rsidR="00765279">
        <w:rPr>
          <w:rFonts w:ascii="Garamond" w:hAnsi="Garamond"/>
        </w:rPr>
        <w:t xml:space="preserve">, 852 N.Y.S.2d </w:t>
      </w:r>
      <w:r w:rsidR="00D3543E">
        <w:rPr>
          <w:rFonts w:ascii="Garamond" w:hAnsi="Garamond"/>
        </w:rPr>
        <w:t>718</w:t>
      </w:r>
      <w:r w:rsidR="00A6776C" w:rsidRPr="00A6776C">
        <w:rPr>
          <w:rFonts w:ascii="Garamond" w:hAnsi="Garamond"/>
        </w:rPr>
        <w:t xml:space="preserve"> (Sur. Ct. Westchester C</w:t>
      </w:r>
      <w:r w:rsidR="00A6776C">
        <w:rPr>
          <w:rFonts w:ascii="Garamond" w:hAnsi="Garamond"/>
        </w:rPr>
        <w:t>o</w:t>
      </w:r>
      <w:r w:rsidR="00A6776C" w:rsidRPr="00A6776C">
        <w:rPr>
          <w:rFonts w:ascii="Garamond" w:hAnsi="Garamond"/>
        </w:rPr>
        <w:t>. 2008)</w:t>
      </w:r>
      <w:r w:rsidR="00D3543E">
        <w:rPr>
          <w:rFonts w:ascii="Garamond" w:hAnsi="Garamond"/>
        </w:rPr>
        <w:t>.</w:t>
      </w:r>
    </w:p>
    <w:p w14:paraId="28CD585F" w14:textId="03F81F76" w:rsidR="00701688" w:rsidRDefault="00701688" w:rsidP="00C2009D">
      <w:pPr>
        <w:pStyle w:val="NoSpacing"/>
        <w:numPr>
          <w:ilvl w:val="3"/>
          <w:numId w:val="1"/>
        </w:numPr>
        <w:spacing w:before="160"/>
        <w:contextualSpacing w:val="0"/>
        <w:rPr>
          <w:rFonts w:ascii="Garamond" w:hAnsi="Garamond"/>
        </w:rPr>
      </w:pPr>
      <w:r>
        <w:rPr>
          <w:rFonts w:ascii="Garamond" w:hAnsi="Garamond"/>
        </w:rPr>
        <w:t>And reformation, that is changing the words of a trust (or a wil</w:t>
      </w:r>
      <w:r w:rsidR="00EB7322">
        <w:rPr>
          <w:rFonts w:ascii="Garamond" w:hAnsi="Garamond"/>
        </w:rPr>
        <w:t>l</w:t>
      </w:r>
      <w:r w:rsidR="002E79CD">
        <w:rPr>
          <w:rFonts w:ascii="Garamond" w:hAnsi="Garamond"/>
        </w:rPr>
        <w:t xml:space="preserve">) has been limited to </w:t>
      </w:r>
      <w:r w:rsidR="006F06EB">
        <w:rPr>
          <w:rFonts w:ascii="Garamond" w:hAnsi="Garamond"/>
        </w:rPr>
        <w:t>repairing ambiguous language.</w:t>
      </w:r>
    </w:p>
    <w:p w14:paraId="7A6DE382" w14:textId="63E7FA87" w:rsidR="00326704" w:rsidRDefault="00326704" w:rsidP="00C2009D">
      <w:pPr>
        <w:pStyle w:val="NoSpacing"/>
        <w:numPr>
          <w:ilvl w:val="3"/>
          <w:numId w:val="1"/>
        </w:numPr>
        <w:spacing w:before="160"/>
        <w:contextualSpacing w:val="0"/>
        <w:rPr>
          <w:rFonts w:ascii="Garamond" w:hAnsi="Garamond"/>
        </w:rPr>
      </w:pPr>
      <w:r>
        <w:rPr>
          <w:rFonts w:ascii="Garamond" w:hAnsi="Garamond"/>
        </w:rPr>
        <w:t>Once again, Restatement</w:t>
      </w:r>
      <w:r w:rsidR="00670649">
        <w:rPr>
          <w:rFonts w:ascii="Garamond" w:hAnsi="Garamond"/>
        </w:rPr>
        <w:t>s</w:t>
      </w:r>
      <w:r>
        <w:rPr>
          <w:rFonts w:ascii="Garamond" w:hAnsi="Garamond"/>
        </w:rPr>
        <w:t xml:space="preserve"> (Third)</w:t>
      </w:r>
      <w:r w:rsidR="00670649">
        <w:rPr>
          <w:rFonts w:ascii="Garamond" w:hAnsi="Garamond"/>
        </w:rPr>
        <w:t xml:space="preserve"> of Property and of Trusts have taken more advanced views which have been incorporated into the Uniform Probate Code and the Uniform Trust Code.</w:t>
      </w:r>
    </w:p>
    <w:p w14:paraId="476AAE4A" w14:textId="60E8F4FA" w:rsidR="00B53F30" w:rsidRPr="00D50D26" w:rsidRDefault="00B53F30" w:rsidP="00C2009D">
      <w:pPr>
        <w:pStyle w:val="NoSpacing"/>
        <w:numPr>
          <w:ilvl w:val="3"/>
          <w:numId w:val="1"/>
        </w:numPr>
        <w:spacing w:before="160"/>
        <w:contextualSpacing w:val="0"/>
        <w:rPr>
          <w:rFonts w:ascii="Garamond" w:hAnsi="Garamond"/>
        </w:rPr>
      </w:pPr>
      <w:r>
        <w:rPr>
          <w:rFonts w:ascii="Garamond" w:hAnsi="Garamond"/>
        </w:rPr>
        <w:t xml:space="preserve">UTC </w:t>
      </w:r>
      <w:r w:rsidRPr="00B53F30">
        <w:rPr>
          <w:rFonts w:ascii="Garamond" w:hAnsi="Garamond" w:cs="Calibri"/>
        </w:rPr>
        <w:t>§</w:t>
      </w:r>
      <w:r>
        <w:rPr>
          <w:rFonts w:ascii="Garamond" w:hAnsi="Garamond" w:cs="Calibri"/>
        </w:rPr>
        <w:t xml:space="preserve"> 411(b) allows termination of an irrevocable trust on the consent of all the beneficiaries</w:t>
      </w:r>
      <w:r w:rsidR="00DD31DB">
        <w:rPr>
          <w:rFonts w:ascii="Garamond" w:hAnsi="Garamond" w:cs="Calibri"/>
        </w:rPr>
        <w:t xml:space="preserve"> if the court decides continuation of the trust is not necessary “to achieve any material purpose of the trust” and modification if the modification is not inconsistent with a material purpose.</w:t>
      </w:r>
    </w:p>
    <w:p w14:paraId="7DD81ACA" w14:textId="70CA0A75" w:rsidR="00D50D26" w:rsidRPr="006807CA" w:rsidRDefault="002A60D4" w:rsidP="00C2009D">
      <w:pPr>
        <w:pStyle w:val="NoSpacing"/>
        <w:numPr>
          <w:ilvl w:val="3"/>
          <w:numId w:val="1"/>
        </w:numPr>
        <w:spacing w:before="160"/>
        <w:contextualSpacing w:val="0"/>
        <w:rPr>
          <w:rFonts w:ascii="Garamond" w:hAnsi="Garamond"/>
        </w:rPr>
      </w:pPr>
      <w:r>
        <w:rPr>
          <w:rFonts w:ascii="Garamond" w:hAnsi="Garamond"/>
        </w:rPr>
        <w:t xml:space="preserve">UTC </w:t>
      </w:r>
      <w:r w:rsidRPr="00B53F30">
        <w:rPr>
          <w:rFonts w:ascii="Garamond" w:hAnsi="Garamond" w:cs="Calibri"/>
        </w:rPr>
        <w:t>§</w:t>
      </w:r>
      <w:r>
        <w:rPr>
          <w:rFonts w:ascii="Garamond" w:hAnsi="Garamond" w:cs="Calibri"/>
        </w:rPr>
        <w:t xml:space="preserve"> 412</w:t>
      </w:r>
      <w:r w:rsidR="000D04BD">
        <w:rPr>
          <w:rFonts w:ascii="Garamond" w:hAnsi="Garamond" w:cs="Calibri"/>
        </w:rPr>
        <w:t xml:space="preserve">(a) allows modification of administrative </w:t>
      </w:r>
      <w:r w:rsidR="000D04BD">
        <w:rPr>
          <w:rFonts w:ascii="Garamond" w:hAnsi="Garamond" w:cs="Calibri"/>
          <w:i/>
          <w:iCs/>
        </w:rPr>
        <w:t>or</w:t>
      </w:r>
      <w:r w:rsidR="000D04BD">
        <w:rPr>
          <w:rFonts w:ascii="Garamond" w:hAnsi="Garamond" w:cs="Calibri"/>
        </w:rPr>
        <w:t xml:space="preserve"> dispositive trust terms if because of circumstances unanticipated </w:t>
      </w:r>
      <w:r w:rsidR="000D04BD">
        <w:rPr>
          <w:rFonts w:ascii="Garamond" w:hAnsi="Garamond" w:cs="Calibri"/>
        </w:rPr>
        <w:tab/>
        <w:t xml:space="preserve">by the settlor </w:t>
      </w:r>
      <w:r w:rsidR="0013334F">
        <w:rPr>
          <w:rFonts w:ascii="Garamond" w:hAnsi="Garamond" w:cs="Calibri"/>
        </w:rPr>
        <w:t xml:space="preserve">if </w:t>
      </w:r>
      <w:r w:rsidR="006807CA">
        <w:rPr>
          <w:rFonts w:ascii="Garamond" w:hAnsi="Garamond" w:cs="Calibri"/>
        </w:rPr>
        <w:t>such action will further the purposes of the trust.</w:t>
      </w:r>
    </w:p>
    <w:p w14:paraId="6CE750EC" w14:textId="716086C2" w:rsidR="006807CA" w:rsidRPr="00286DB7" w:rsidRDefault="006807CA" w:rsidP="00C2009D">
      <w:pPr>
        <w:pStyle w:val="NoSpacing"/>
        <w:numPr>
          <w:ilvl w:val="3"/>
          <w:numId w:val="1"/>
        </w:numPr>
        <w:spacing w:before="160"/>
        <w:contextualSpacing w:val="0"/>
        <w:rPr>
          <w:rFonts w:ascii="Garamond" w:hAnsi="Garamond"/>
        </w:rPr>
      </w:pPr>
      <w:r>
        <w:rPr>
          <w:rFonts w:ascii="Garamond" w:hAnsi="Garamond"/>
        </w:rPr>
        <w:t xml:space="preserve">UTC </w:t>
      </w:r>
      <w:r w:rsidRPr="00B53F30">
        <w:rPr>
          <w:rFonts w:ascii="Garamond" w:hAnsi="Garamond" w:cs="Calibri"/>
        </w:rPr>
        <w:t>§</w:t>
      </w:r>
      <w:r>
        <w:rPr>
          <w:rFonts w:ascii="Garamond" w:hAnsi="Garamond" w:cs="Calibri"/>
        </w:rPr>
        <w:t xml:space="preserve"> 412(b) allows modification of </w:t>
      </w:r>
      <w:r w:rsidR="00316E7C">
        <w:rPr>
          <w:rFonts w:ascii="Garamond" w:hAnsi="Garamond" w:cs="Calibri"/>
        </w:rPr>
        <w:t>administrative terms “</w:t>
      </w:r>
      <w:r w:rsidR="00316E7C" w:rsidRPr="00316E7C">
        <w:rPr>
          <w:rFonts w:ascii="Garamond" w:hAnsi="Garamond" w:cs="Calibri"/>
        </w:rPr>
        <w:t>if continuation of the trust on its existing terms would be impracticable or wasteful or impair the trust’s administration.</w:t>
      </w:r>
      <w:r w:rsidR="00316E7C">
        <w:rPr>
          <w:rFonts w:ascii="Garamond" w:hAnsi="Garamond" w:cs="Calibri"/>
        </w:rPr>
        <w:t>”</w:t>
      </w:r>
    </w:p>
    <w:p w14:paraId="03F28E27" w14:textId="77777777" w:rsidR="00920BC7" w:rsidRDefault="00920BC7" w:rsidP="00920BC7">
      <w:pPr>
        <w:pStyle w:val="NoSpacing"/>
        <w:numPr>
          <w:ilvl w:val="2"/>
          <w:numId w:val="1"/>
        </w:numPr>
        <w:spacing w:before="160"/>
        <w:contextualSpacing w:val="0"/>
        <w:rPr>
          <w:rFonts w:ascii="Garamond" w:hAnsi="Garamond"/>
        </w:rPr>
      </w:pPr>
      <w:r>
        <w:rPr>
          <w:rFonts w:ascii="Garamond" w:hAnsi="Garamond"/>
        </w:rPr>
        <w:t>Reformation</w:t>
      </w:r>
    </w:p>
    <w:p w14:paraId="4D36665C" w14:textId="77777777" w:rsidR="00920BC7" w:rsidRPr="00920BC7" w:rsidRDefault="00286DB7" w:rsidP="00920BC7">
      <w:pPr>
        <w:pStyle w:val="NoSpacing"/>
        <w:numPr>
          <w:ilvl w:val="3"/>
          <w:numId w:val="1"/>
        </w:numPr>
        <w:spacing w:before="160"/>
        <w:contextualSpacing w:val="0"/>
        <w:rPr>
          <w:rFonts w:ascii="Garamond" w:hAnsi="Garamond"/>
        </w:rPr>
      </w:pPr>
      <w:r>
        <w:rPr>
          <w:rFonts w:ascii="Garamond" w:hAnsi="Garamond"/>
        </w:rPr>
        <w:t xml:space="preserve">UTC </w:t>
      </w:r>
      <w:r w:rsidRPr="00B53F30">
        <w:rPr>
          <w:rFonts w:ascii="Garamond" w:hAnsi="Garamond" w:cs="Calibri"/>
        </w:rPr>
        <w:t>§</w:t>
      </w:r>
      <w:r>
        <w:rPr>
          <w:rFonts w:ascii="Garamond" w:hAnsi="Garamond" w:cs="Calibri"/>
        </w:rPr>
        <w:t xml:space="preserve"> 415 allows </w:t>
      </w:r>
      <w:r w:rsidR="003B7E48">
        <w:rPr>
          <w:rFonts w:ascii="Garamond" w:hAnsi="Garamond" w:cs="Calibri"/>
        </w:rPr>
        <w:t>reformation of the terms of a trust, even if unambiguous “</w:t>
      </w:r>
      <w:r w:rsidR="003B7E48" w:rsidRPr="003B7E48">
        <w:rPr>
          <w:rFonts w:ascii="Garamond" w:hAnsi="Garamond" w:cs="Calibri"/>
        </w:rPr>
        <w:t>to conform the terms to the settlor’s intention if it is proved by clear and convincing evidence what the settlor’s intention was and that the terms of the trust were affected by a mistake of fact or law, whether in expression or inducement.</w:t>
      </w:r>
      <w:r w:rsidR="003B7E48">
        <w:rPr>
          <w:rFonts w:ascii="Garamond" w:hAnsi="Garamond" w:cs="Calibri"/>
        </w:rPr>
        <w:t>”</w:t>
      </w:r>
      <w:r w:rsidR="00911C0A">
        <w:rPr>
          <w:rFonts w:ascii="Garamond" w:hAnsi="Garamond" w:cs="Calibri"/>
        </w:rPr>
        <w:t xml:space="preserve"> UPC </w:t>
      </w:r>
      <w:r w:rsidR="00911C0A" w:rsidRPr="00B53F30">
        <w:rPr>
          <w:rFonts w:ascii="Garamond" w:hAnsi="Garamond" w:cs="Calibri"/>
        </w:rPr>
        <w:t>§</w:t>
      </w:r>
      <w:r w:rsidR="00911C0A">
        <w:rPr>
          <w:rFonts w:ascii="Garamond" w:hAnsi="Garamond" w:cs="Calibri"/>
        </w:rPr>
        <w:t xml:space="preserve"> </w:t>
      </w:r>
      <w:r w:rsidR="00683028">
        <w:rPr>
          <w:rFonts w:ascii="Garamond" w:hAnsi="Garamond" w:cs="Calibri"/>
        </w:rPr>
        <w:t xml:space="preserve">2-805 is the same rule for wills.  </w:t>
      </w:r>
    </w:p>
    <w:p w14:paraId="6D1E1F56" w14:textId="4C2F5F63" w:rsidR="00286DB7" w:rsidRPr="00E56E2F" w:rsidRDefault="00683028" w:rsidP="00920BC7">
      <w:pPr>
        <w:pStyle w:val="NoSpacing"/>
        <w:numPr>
          <w:ilvl w:val="3"/>
          <w:numId w:val="1"/>
        </w:numPr>
        <w:spacing w:before="160"/>
        <w:contextualSpacing w:val="0"/>
        <w:rPr>
          <w:rFonts w:ascii="Garamond" w:hAnsi="Garamond"/>
        </w:rPr>
      </w:pPr>
      <w:r>
        <w:rPr>
          <w:rFonts w:ascii="Garamond" w:hAnsi="Garamond" w:cs="Calibri"/>
        </w:rPr>
        <w:lastRenderedPageBreak/>
        <w:t xml:space="preserve">The </w:t>
      </w:r>
      <w:r w:rsidR="00E64EC7">
        <w:rPr>
          <w:rFonts w:ascii="Garamond" w:hAnsi="Garamond" w:cs="Calibri"/>
        </w:rPr>
        <w:t xml:space="preserve">California Supreme Court appears to be the </w:t>
      </w:r>
      <w:r>
        <w:rPr>
          <w:rFonts w:ascii="Garamond" w:hAnsi="Garamond" w:cs="Calibri"/>
        </w:rPr>
        <w:t xml:space="preserve">first </w:t>
      </w:r>
      <w:r w:rsidR="00E64EC7">
        <w:rPr>
          <w:rFonts w:ascii="Garamond" w:hAnsi="Garamond" w:cs="Calibri"/>
        </w:rPr>
        <w:t>state high court</w:t>
      </w:r>
      <w:r>
        <w:rPr>
          <w:rFonts w:ascii="Garamond" w:hAnsi="Garamond" w:cs="Calibri"/>
        </w:rPr>
        <w:t xml:space="preserve"> </w:t>
      </w:r>
      <w:r w:rsidR="00E64EC7">
        <w:rPr>
          <w:rFonts w:ascii="Garamond" w:hAnsi="Garamond" w:cs="Calibri"/>
        </w:rPr>
        <w:t>to hold that an unambiguous will may be reformed</w:t>
      </w:r>
      <w:r w:rsidR="00E56E2F">
        <w:rPr>
          <w:rFonts w:ascii="Garamond" w:hAnsi="Garamond" w:cs="Calibri"/>
        </w:rPr>
        <w:t xml:space="preserve"> in the absence of a statute</w:t>
      </w:r>
      <w:r w:rsidR="00E64EC7">
        <w:rPr>
          <w:rFonts w:ascii="Garamond" w:hAnsi="Garamond" w:cs="Calibri"/>
        </w:rPr>
        <w:t xml:space="preserve">, </w:t>
      </w:r>
      <w:r w:rsidR="006D66B6">
        <w:rPr>
          <w:rFonts w:ascii="Garamond" w:hAnsi="Garamond" w:cs="Calibri"/>
          <w:i/>
          <w:iCs/>
        </w:rPr>
        <w:t>Estate</w:t>
      </w:r>
      <w:r w:rsidR="00E64EC7">
        <w:rPr>
          <w:rFonts w:ascii="Garamond" w:hAnsi="Garamond" w:cs="Calibri"/>
          <w:i/>
          <w:iCs/>
        </w:rPr>
        <w:t xml:space="preserve"> of Duke</w:t>
      </w:r>
      <w:r w:rsidR="00E64EC7">
        <w:rPr>
          <w:rFonts w:ascii="Garamond" w:hAnsi="Garamond" w:cs="Calibri"/>
        </w:rPr>
        <w:t xml:space="preserve">, </w:t>
      </w:r>
      <w:r w:rsidR="00106E69">
        <w:rPr>
          <w:rFonts w:ascii="Garamond" w:hAnsi="Garamond" w:cs="Calibri"/>
        </w:rPr>
        <w:t>61 Cal.4</w:t>
      </w:r>
      <w:r w:rsidR="00106E69" w:rsidRPr="00106E69">
        <w:rPr>
          <w:rFonts w:ascii="Garamond" w:hAnsi="Garamond" w:cs="Calibri"/>
          <w:vertAlign w:val="superscript"/>
        </w:rPr>
        <w:t>th</w:t>
      </w:r>
      <w:r w:rsidR="00106E69">
        <w:rPr>
          <w:rFonts w:ascii="Garamond" w:hAnsi="Garamond" w:cs="Calibri"/>
        </w:rPr>
        <w:t xml:space="preserve"> 871, 190 Cal.Rptr.3d 295, 352 P.3d </w:t>
      </w:r>
      <w:r w:rsidR="00B70A2D">
        <w:rPr>
          <w:rFonts w:ascii="Garamond" w:hAnsi="Garamond" w:cs="Calibri"/>
        </w:rPr>
        <w:t>863 (2015).</w:t>
      </w:r>
    </w:p>
    <w:p w14:paraId="4CF0916B" w14:textId="405C427A" w:rsidR="0098029B" w:rsidRDefault="00E56E2F" w:rsidP="0098029B">
      <w:pPr>
        <w:pStyle w:val="NoSpacing"/>
        <w:numPr>
          <w:ilvl w:val="2"/>
          <w:numId w:val="1"/>
        </w:numPr>
        <w:spacing w:before="160"/>
        <w:contextualSpacing w:val="0"/>
        <w:rPr>
          <w:rFonts w:ascii="Garamond" w:hAnsi="Garamond"/>
        </w:rPr>
      </w:pPr>
      <w:r>
        <w:rPr>
          <w:rFonts w:ascii="Garamond" w:hAnsi="Garamond" w:cs="Calibri"/>
        </w:rPr>
        <w:t>Decanting</w:t>
      </w:r>
    </w:p>
    <w:p w14:paraId="764211F4" w14:textId="5EDFFF92" w:rsidR="0098029B" w:rsidRDefault="0098029B" w:rsidP="0098029B">
      <w:pPr>
        <w:pStyle w:val="NoSpacing"/>
        <w:numPr>
          <w:ilvl w:val="3"/>
          <w:numId w:val="1"/>
        </w:numPr>
        <w:spacing w:before="160"/>
        <w:contextualSpacing w:val="0"/>
        <w:rPr>
          <w:rFonts w:ascii="Garamond" w:hAnsi="Garamond"/>
        </w:rPr>
      </w:pPr>
      <w:r>
        <w:rPr>
          <w:rFonts w:ascii="Garamond" w:hAnsi="Garamond"/>
        </w:rPr>
        <w:t xml:space="preserve">“Decanting” is the </w:t>
      </w:r>
      <w:r w:rsidR="000D766A">
        <w:rPr>
          <w:rFonts w:ascii="Garamond" w:hAnsi="Garamond"/>
        </w:rPr>
        <w:t>short-hand term for exerci</w:t>
      </w:r>
      <w:r w:rsidR="00945DDF">
        <w:rPr>
          <w:rFonts w:ascii="Garamond" w:hAnsi="Garamond"/>
        </w:rPr>
        <w:t>se of discretion by the trustee of a discretionary trust to distribute trust pro</w:t>
      </w:r>
      <w:r w:rsidR="002470AD">
        <w:rPr>
          <w:rFonts w:ascii="Garamond" w:hAnsi="Garamond"/>
        </w:rPr>
        <w:t>perty to a new trust created by the trustee; the trustee is sometimes described as exercising a power of appointment to appoint in further trust</w:t>
      </w:r>
      <w:r w:rsidR="00255650">
        <w:rPr>
          <w:rFonts w:ascii="Garamond" w:hAnsi="Garamond"/>
        </w:rPr>
        <w:t>. That is how the New York statute characterizes the trustee’s action, EPTL 10-6.6</w:t>
      </w:r>
      <w:r w:rsidR="00D67980">
        <w:rPr>
          <w:rFonts w:ascii="Garamond" w:hAnsi="Garamond"/>
        </w:rPr>
        <w:t>(d).</w:t>
      </w:r>
    </w:p>
    <w:p w14:paraId="38F52E07" w14:textId="31547A51" w:rsidR="00A65AD4" w:rsidRDefault="00641154" w:rsidP="0098029B">
      <w:pPr>
        <w:pStyle w:val="NoSpacing"/>
        <w:numPr>
          <w:ilvl w:val="3"/>
          <w:numId w:val="1"/>
        </w:numPr>
        <w:spacing w:before="160"/>
        <w:contextualSpacing w:val="0"/>
        <w:rPr>
          <w:rFonts w:ascii="Garamond" w:hAnsi="Garamond"/>
        </w:rPr>
      </w:pPr>
      <w:r>
        <w:rPr>
          <w:rFonts w:ascii="Garamond" w:hAnsi="Garamond"/>
        </w:rPr>
        <w:t xml:space="preserve">The New York statute, which was probably the first in the nation, was </w:t>
      </w:r>
      <w:r w:rsidR="00771AC4">
        <w:rPr>
          <w:rFonts w:ascii="Garamond" w:hAnsi="Garamond"/>
        </w:rPr>
        <w:t xml:space="preserve">enacted in 1992 (L. 1992 c. </w:t>
      </w:r>
      <w:r w:rsidR="00F8321D">
        <w:rPr>
          <w:rFonts w:ascii="Garamond" w:hAnsi="Garamond"/>
        </w:rPr>
        <w:t xml:space="preserve">591) </w:t>
      </w:r>
      <w:r w:rsidR="00771AC4">
        <w:rPr>
          <w:rFonts w:ascii="Garamond" w:hAnsi="Garamond"/>
        </w:rPr>
        <w:t xml:space="preserve">and extensively revised </w:t>
      </w:r>
      <w:r w:rsidR="00F8321D">
        <w:rPr>
          <w:rFonts w:ascii="Garamond" w:hAnsi="Garamond"/>
        </w:rPr>
        <w:t xml:space="preserve">in 2011 (L. 2011 c. 451). The </w:t>
      </w:r>
      <w:r w:rsidR="005519BD">
        <w:rPr>
          <w:rFonts w:ascii="Garamond" w:hAnsi="Garamond"/>
        </w:rPr>
        <w:t>statute</w:t>
      </w:r>
      <w:r w:rsidR="00D624D1">
        <w:rPr>
          <w:rFonts w:ascii="Garamond" w:hAnsi="Garamond"/>
        </w:rPr>
        <w:t>, which is consider</w:t>
      </w:r>
      <w:r w:rsidR="000A4D18">
        <w:rPr>
          <w:rFonts w:ascii="Garamond" w:hAnsi="Garamond"/>
        </w:rPr>
        <w:t>ed</w:t>
      </w:r>
      <w:r w:rsidR="00D624D1">
        <w:rPr>
          <w:rFonts w:ascii="Garamond" w:hAnsi="Garamond"/>
        </w:rPr>
        <w:t xml:space="preserve"> to codify and elaborate existing law, was originally driven by the desire to </w:t>
      </w:r>
      <w:r w:rsidR="001535B4">
        <w:rPr>
          <w:rFonts w:ascii="Garamond" w:hAnsi="Garamond"/>
        </w:rPr>
        <w:t xml:space="preserve">prolong the term of existing trusts that predated the enactment of the </w:t>
      </w:r>
      <w:r w:rsidR="006B1D01">
        <w:rPr>
          <w:rFonts w:ascii="Garamond" w:hAnsi="Garamond"/>
        </w:rPr>
        <w:t>G</w:t>
      </w:r>
      <w:r w:rsidR="001535B4">
        <w:rPr>
          <w:rFonts w:ascii="Garamond" w:hAnsi="Garamond"/>
        </w:rPr>
        <w:t xml:space="preserve">eneration </w:t>
      </w:r>
      <w:r w:rsidR="006B1D01">
        <w:rPr>
          <w:rFonts w:ascii="Garamond" w:hAnsi="Garamond"/>
        </w:rPr>
        <w:t>S</w:t>
      </w:r>
      <w:r w:rsidR="001535B4">
        <w:rPr>
          <w:rFonts w:ascii="Garamond" w:hAnsi="Garamond"/>
        </w:rPr>
        <w:t xml:space="preserve">kipping </w:t>
      </w:r>
      <w:r w:rsidR="006B1D01">
        <w:rPr>
          <w:rFonts w:ascii="Garamond" w:hAnsi="Garamond"/>
        </w:rPr>
        <w:t>T</w:t>
      </w:r>
      <w:r w:rsidR="001535B4">
        <w:rPr>
          <w:rFonts w:ascii="Garamond" w:hAnsi="Garamond"/>
        </w:rPr>
        <w:t xml:space="preserve">ransfer </w:t>
      </w:r>
      <w:r w:rsidR="007070F2">
        <w:rPr>
          <w:rFonts w:ascii="Garamond" w:hAnsi="Garamond"/>
        </w:rPr>
        <w:t>T</w:t>
      </w:r>
      <w:r w:rsidR="001535B4">
        <w:rPr>
          <w:rFonts w:ascii="Garamond" w:hAnsi="Garamond"/>
        </w:rPr>
        <w:t>ax</w:t>
      </w:r>
      <w:r w:rsidR="00E9327E">
        <w:rPr>
          <w:rFonts w:ascii="Garamond" w:hAnsi="Garamond"/>
        </w:rPr>
        <w:t>.</w:t>
      </w:r>
    </w:p>
    <w:p w14:paraId="4CDBA979" w14:textId="2C092F79" w:rsidR="00E9327E" w:rsidRDefault="00201C61" w:rsidP="0098029B">
      <w:pPr>
        <w:pStyle w:val="NoSpacing"/>
        <w:numPr>
          <w:ilvl w:val="3"/>
          <w:numId w:val="1"/>
        </w:numPr>
        <w:spacing w:before="160"/>
        <w:contextualSpacing w:val="0"/>
        <w:rPr>
          <w:rFonts w:ascii="Garamond" w:hAnsi="Garamond"/>
        </w:rPr>
      </w:pPr>
      <w:r>
        <w:rPr>
          <w:rFonts w:ascii="Garamond" w:hAnsi="Garamond"/>
        </w:rPr>
        <w:t xml:space="preserve">It is difficult to know </w:t>
      </w:r>
      <w:r w:rsidR="006B3914">
        <w:rPr>
          <w:rFonts w:ascii="Garamond" w:hAnsi="Garamond"/>
        </w:rPr>
        <w:t>how decanting is be</w:t>
      </w:r>
      <w:r w:rsidR="007070F2">
        <w:rPr>
          <w:rFonts w:ascii="Garamond" w:hAnsi="Garamond"/>
        </w:rPr>
        <w:t>ing</w:t>
      </w:r>
      <w:r w:rsidR="006B3914">
        <w:rPr>
          <w:rFonts w:ascii="Garamond" w:hAnsi="Garamond"/>
        </w:rPr>
        <w:t xml:space="preserve"> used in New York; there does not seem to be a great of litigation.</w:t>
      </w:r>
      <w:r w:rsidR="001F4DD5">
        <w:rPr>
          <w:rFonts w:ascii="Garamond" w:hAnsi="Garamond"/>
        </w:rPr>
        <w:t xml:space="preserve"> One example </w:t>
      </w:r>
      <w:r w:rsidR="00610C40">
        <w:rPr>
          <w:rFonts w:ascii="Garamond" w:hAnsi="Garamond"/>
        </w:rPr>
        <w:t xml:space="preserve">is </w:t>
      </w:r>
      <w:r w:rsidR="00610C40">
        <w:rPr>
          <w:rFonts w:ascii="Garamond" w:hAnsi="Garamond"/>
          <w:i/>
          <w:iCs/>
        </w:rPr>
        <w:t>Kroll v. New York State Dep’t</w:t>
      </w:r>
      <w:r w:rsidR="00A62CFA">
        <w:rPr>
          <w:rFonts w:ascii="Garamond" w:hAnsi="Garamond"/>
          <w:i/>
          <w:iCs/>
        </w:rPr>
        <w:t>.</w:t>
      </w:r>
      <w:r w:rsidR="00610C40">
        <w:rPr>
          <w:rFonts w:ascii="Garamond" w:hAnsi="Garamond"/>
          <w:i/>
          <w:iCs/>
        </w:rPr>
        <w:t xml:space="preserve"> of Health</w:t>
      </w:r>
      <w:r w:rsidR="00610C40">
        <w:rPr>
          <w:rFonts w:ascii="Garamond" w:hAnsi="Garamond"/>
        </w:rPr>
        <w:t xml:space="preserve">, </w:t>
      </w:r>
      <w:r w:rsidR="000A7B2F" w:rsidRPr="000A7B2F">
        <w:rPr>
          <w:rFonts w:ascii="Garamond" w:hAnsi="Garamond"/>
        </w:rPr>
        <w:t>143 A.D.3d 716, 39 N.Y.S.3d 183</w:t>
      </w:r>
      <w:r w:rsidR="00457E32">
        <w:rPr>
          <w:rFonts w:ascii="Garamond" w:hAnsi="Garamond"/>
        </w:rPr>
        <w:t xml:space="preserve"> (</w:t>
      </w:r>
      <w:r w:rsidR="00E56646">
        <w:rPr>
          <w:rFonts w:ascii="Garamond" w:hAnsi="Garamond"/>
        </w:rPr>
        <w:t>2d Dep’t 2016)</w:t>
      </w:r>
      <w:r w:rsidR="0041697B">
        <w:rPr>
          <w:rFonts w:ascii="Garamond" w:hAnsi="Garamond"/>
        </w:rPr>
        <w:t xml:space="preserve"> where the court approved a decanting to create a supplemental needs trust.</w:t>
      </w:r>
    </w:p>
    <w:p w14:paraId="196BB883" w14:textId="776F123D" w:rsidR="00F32E74" w:rsidRDefault="00F32E74" w:rsidP="0098029B">
      <w:pPr>
        <w:pStyle w:val="NoSpacing"/>
        <w:numPr>
          <w:ilvl w:val="3"/>
          <w:numId w:val="1"/>
        </w:numPr>
        <w:spacing w:before="160"/>
        <w:contextualSpacing w:val="0"/>
        <w:rPr>
          <w:rFonts w:ascii="Garamond" w:hAnsi="Garamond"/>
        </w:rPr>
      </w:pPr>
      <w:r>
        <w:rPr>
          <w:rFonts w:ascii="Garamond" w:hAnsi="Garamond"/>
        </w:rPr>
        <w:t xml:space="preserve">Perhaps the most </w:t>
      </w:r>
      <w:r w:rsidR="00B11B17">
        <w:rPr>
          <w:rFonts w:ascii="Garamond" w:hAnsi="Garamond"/>
        </w:rPr>
        <w:t xml:space="preserve">well know example of a decanting held to violate the decanting trustees’ fiduciary duties is </w:t>
      </w:r>
      <w:r w:rsidR="00B11B17">
        <w:rPr>
          <w:rFonts w:ascii="Garamond" w:hAnsi="Garamond"/>
          <w:i/>
          <w:iCs/>
        </w:rPr>
        <w:t xml:space="preserve">Hodges v. </w:t>
      </w:r>
      <w:r w:rsidR="00A16E9F">
        <w:rPr>
          <w:rFonts w:ascii="Garamond" w:hAnsi="Garamond"/>
          <w:i/>
          <w:iCs/>
        </w:rPr>
        <w:t>Johnson</w:t>
      </w:r>
      <w:r w:rsidR="00A16E9F">
        <w:rPr>
          <w:rFonts w:ascii="Garamond" w:hAnsi="Garamond"/>
        </w:rPr>
        <w:t>, 170 N.H, 470, 177 A.</w:t>
      </w:r>
      <w:r w:rsidR="00BE0BB1">
        <w:rPr>
          <w:rFonts w:ascii="Garamond" w:hAnsi="Garamond"/>
        </w:rPr>
        <w:t>3</w:t>
      </w:r>
      <w:r w:rsidR="00A16E9F">
        <w:rPr>
          <w:rFonts w:ascii="Garamond" w:hAnsi="Garamond"/>
        </w:rPr>
        <w:t xml:space="preserve">d 86 (2017) where a series of decantings that eliminated beneficiaries who had </w:t>
      </w:r>
      <w:r w:rsidR="00BE0BB1">
        <w:rPr>
          <w:rFonts w:ascii="Garamond" w:hAnsi="Garamond"/>
        </w:rPr>
        <w:t>fallen out of favor with the creator of trusts holding non-voting interests in the family businesses</w:t>
      </w:r>
      <w:r w:rsidR="00135BF3">
        <w:rPr>
          <w:rFonts w:ascii="Garamond" w:hAnsi="Garamond"/>
        </w:rPr>
        <w:t xml:space="preserve"> (one trust GST </w:t>
      </w:r>
      <w:r w:rsidR="00A14E67">
        <w:rPr>
          <w:rFonts w:ascii="Garamond" w:hAnsi="Garamond"/>
        </w:rPr>
        <w:t xml:space="preserve">tax </w:t>
      </w:r>
      <w:r w:rsidR="00135BF3">
        <w:rPr>
          <w:rFonts w:ascii="Garamond" w:hAnsi="Garamond"/>
        </w:rPr>
        <w:t xml:space="preserve">exempt, the other not), were found to violate the trustees’ duty of impartiality.  While the behavior of the </w:t>
      </w:r>
      <w:r w:rsidR="00BF58C0">
        <w:rPr>
          <w:rFonts w:ascii="Garamond" w:hAnsi="Garamond"/>
        </w:rPr>
        <w:t xml:space="preserve">disfavored beneficiaries </w:t>
      </w:r>
      <w:r w:rsidR="00E17F02">
        <w:rPr>
          <w:rFonts w:ascii="Garamond" w:hAnsi="Garamond"/>
        </w:rPr>
        <w:t xml:space="preserve">described in the trustees’ filings is outrageous, </w:t>
      </w:r>
      <w:r w:rsidR="000B0887">
        <w:rPr>
          <w:rFonts w:ascii="Garamond" w:hAnsi="Garamond"/>
        </w:rPr>
        <w:t>t</w:t>
      </w:r>
      <w:r w:rsidR="00E33995">
        <w:rPr>
          <w:rFonts w:ascii="Garamond" w:hAnsi="Garamond"/>
        </w:rPr>
        <w:t xml:space="preserve">he attempt to retain control by the creator of the trusts </w:t>
      </w:r>
      <w:r w:rsidR="000B0887">
        <w:rPr>
          <w:rFonts w:ascii="Garamond" w:hAnsi="Garamond"/>
        </w:rPr>
        <w:t>is certainly in tension with the irrevocability of the trusts.</w:t>
      </w:r>
    </w:p>
    <w:p w14:paraId="37656470" w14:textId="4DFD4F0E" w:rsidR="000B0887" w:rsidRPr="0098029B" w:rsidRDefault="000B0887" w:rsidP="0098029B">
      <w:pPr>
        <w:pStyle w:val="NoSpacing"/>
        <w:numPr>
          <w:ilvl w:val="3"/>
          <w:numId w:val="1"/>
        </w:numPr>
        <w:spacing w:before="160"/>
        <w:contextualSpacing w:val="0"/>
        <w:rPr>
          <w:rFonts w:ascii="Garamond" w:hAnsi="Garamond"/>
        </w:rPr>
      </w:pPr>
      <w:r>
        <w:rPr>
          <w:rFonts w:ascii="Garamond" w:hAnsi="Garamond"/>
        </w:rPr>
        <w:t xml:space="preserve">This is not a new </w:t>
      </w:r>
      <w:r w:rsidR="00883095">
        <w:rPr>
          <w:rFonts w:ascii="Garamond" w:hAnsi="Garamond"/>
        </w:rPr>
        <w:t xml:space="preserve">issue, of course. Consider </w:t>
      </w:r>
      <w:r w:rsidR="00883095">
        <w:rPr>
          <w:rFonts w:ascii="Garamond" w:hAnsi="Garamond"/>
          <w:i/>
          <w:iCs/>
        </w:rPr>
        <w:t>McNeil</w:t>
      </w:r>
      <w:r w:rsidR="002319E7">
        <w:rPr>
          <w:rFonts w:ascii="Garamond" w:hAnsi="Garamond"/>
          <w:i/>
          <w:iCs/>
        </w:rPr>
        <w:t xml:space="preserve"> v. McNeil</w:t>
      </w:r>
      <w:r w:rsidR="002319E7">
        <w:rPr>
          <w:rFonts w:ascii="Garamond" w:hAnsi="Garamond"/>
        </w:rPr>
        <w:t xml:space="preserve">, </w:t>
      </w:r>
      <w:r w:rsidR="00E16D1F">
        <w:rPr>
          <w:rFonts w:ascii="Garamond" w:hAnsi="Garamond"/>
        </w:rPr>
        <w:t xml:space="preserve">798 A.2d </w:t>
      </w:r>
      <w:r w:rsidR="00A41B20">
        <w:rPr>
          <w:rFonts w:ascii="Garamond" w:hAnsi="Garamond"/>
        </w:rPr>
        <w:t>503 (Del. 2002).</w:t>
      </w:r>
      <w:r w:rsidR="006F51F8">
        <w:rPr>
          <w:rFonts w:ascii="Garamond" w:hAnsi="Garamond"/>
        </w:rPr>
        <w:t xml:space="preserve"> The McNeil trusts</w:t>
      </w:r>
      <w:r w:rsidR="00236E48">
        <w:rPr>
          <w:rFonts w:ascii="Garamond" w:hAnsi="Garamond"/>
        </w:rPr>
        <w:t xml:space="preserve"> were created by </w:t>
      </w:r>
      <w:r w:rsidR="00445ED2">
        <w:rPr>
          <w:rFonts w:ascii="Garamond" w:hAnsi="Garamond"/>
        </w:rPr>
        <w:t xml:space="preserve">Henry McNeil, </w:t>
      </w:r>
      <w:r w:rsidR="000C057F">
        <w:rPr>
          <w:rFonts w:ascii="Garamond" w:hAnsi="Garamond"/>
        </w:rPr>
        <w:t>Sr.</w:t>
      </w:r>
      <w:r w:rsidR="00445ED2">
        <w:rPr>
          <w:rFonts w:ascii="Garamond" w:hAnsi="Garamond"/>
        </w:rPr>
        <w:t xml:space="preserve">  Fully discretionary, they were administered by the individual trustees</w:t>
      </w:r>
      <w:r w:rsidR="00B36F06">
        <w:rPr>
          <w:rFonts w:ascii="Garamond" w:hAnsi="Garamond"/>
        </w:rPr>
        <w:t xml:space="preserve"> who </w:t>
      </w:r>
      <w:r w:rsidR="009D1FA3">
        <w:rPr>
          <w:rFonts w:ascii="Garamond" w:hAnsi="Garamond"/>
        </w:rPr>
        <w:t>as they admitted, deferred to the wishes of the creator and his spouse.  Irrevocable, yes, but still under control?</w:t>
      </w:r>
    </w:p>
    <w:p w14:paraId="5AB24E5B" w14:textId="1A89A651" w:rsidR="003D1516" w:rsidRDefault="00477ADA" w:rsidP="00637866">
      <w:pPr>
        <w:pStyle w:val="NoSpacing"/>
        <w:numPr>
          <w:ilvl w:val="1"/>
          <w:numId w:val="1"/>
        </w:numPr>
        <w:spacing w:before="160"/>
        <w:contextualSpacing w:val="0"/>
        <w:rPr>
          <w:rFonts w:ascii="Garamond" w:hAnsi="Garamond"/>
        </w:rPr>
      </w:pPr>
      <w:r>
        <w:rPr>
          <w:rFonts w:ascii="Garamond" w:hAnsi="Garamond"/>
        </w:rPr>
        <w:t>Rule against perpetuities</w:t>
      </w:r>
    </w:p>
    <w:p w14:paraId="70CB3A16" w14:textId="1C3E92F6" w:rsidR="00FA04EA" w:rsidRPr="00AF5602" w:rsidRDefault="00FA04EA" w:rsidP="00FA04EA">
      <w:pPr>
        <w:pStyle w:val="NoSpacing"/>
        <w:numPr>
          <w:ilvl w:val="2"/>
          <w:numId w:val="1"/>
        </w:numPr>
        <w:spacing w:before="160"/>
        <w:contextualSpacing w:val="0"/>
        <w:rPr>
          <w:rFonts w:ascii="Garamond" w:hAnsi="Garamond"/>
        </w:rPr>
      </w:pPr>
      <w:r>
        <w:rPr>
          <w:rFonts w:ascii="Garamond" w:hAnsi="Garamond"/>
        </w:rPr>
        <w:t xml:space="preserve">The Rule is going the way of the dodo. </w:t>
      </w:r>
      <w:r w:rsidR="007C6BCB">
        <w:rPr>
          <w:rFonts w:ascii="Garamond" w:hAnsi="Garamond"/>
        </w:rPr>
        <w:t xml:space="preserve">By one count 34 states have repealed the Rule, usually by </w:t>
      </w:r>
      <w:r w:rsidR="004D6595">
        <w:rPr>
          <w:rFonts w:ascii="Garamond" w:hAnsi="Garamond"/>
        </w:rPr>
        <w:t>requiring vesting at the end of a long period of time, sometimes as long as 1000 years</w:t>
      </w:r>
      <w:r w:rsidR="002F2E4E">
        <w:rPr>
          <w:rFonts w:ascii="Garamond" w:hAnsi="Garamond"/>
        </w:rPr>
        <w:t xml:space="preserve">, </w:t>
      </w:r>
      <w:r w:rsidR="002F2E4E">
        <w:rPr>
          <w:rFonts w:ascii="Garamond" w:hAnsi="Garamond"/>
          <w:i/>
          <w:iCs/>
        </w:rPr>
        <w:t xml:space="preserve">e.g., </w:t>
      </w:r>
      <w:r w:rsidR="002F2E4E">
        <w:rPr>
          <w:rFonts w:ascii="Garamond" w:hAnsi="Garamond"/>
        </w:rPr>
        <w:t>Fla. Stat</w:t>
      </w:r>
      <w:r w:rsidR="002F2E4E" w:rsidRPr="004B6639">
        <w:rPr>
          <w:rFonts w:ascii="Garamond" w:hAnsi="Garamond"/>
        </w:rPr>
        <w:t xml:space="preserve">. </w:t>
      </w:r>
      <w:r w:rsidR="004B6639" w:rsidRPr="004B6639">
        <w:rPr>
          <w:rFonts w:ascii="Garamond" w:hAnsi="Garamond" w:cs="Calibri"/>
        </w:rPr>
        <w:t>§</w:t>
      </w:r>
      <w:r w:rsidR="004B6639">
        <w:rPr>
          <w:rFonts w:ascii="Garamond" w:hAnsi="Garamond" w:cs="Calibri"/>
        </w:rPr>
        <w:t xml:space="preserve"> 689.225</w:t>
      </w:r>
      <w:r w:rsidR="00064A6B">
        <w:rPr>
          <w:rFonts w:ascii="Garamond" w:hAnsi="Garamond" w:cs="Calibri"/>
        </w:rPr>
        <w:t>(g)</w:t>
      </w:r>
      <w:r w:rsidR="004B6639">
        <w:rPr>
          <w:rFonts w:ascii="Garamond" w:hAnsi="Garamond" w:cs="Calibri"/>
        </w:rPr>
        <w:t xml:space="preserve">. (although sometimes </w:t>
      </w:r>
      <w:r w:rsidR="003171CF">
        <w:rPr>
          <w:rFonts w:ascii="Garamond" w:hAnsi="Garamond" w:cs="Calibri"/>
        </w:rPr>
        <w:t xml:space="preserve">a much shorter period, perhaps based on the traditional Rule is retained for interests in real property, </w:t>
      </w:r>
      <w:r w:rsidR="00751A8E">
        <w:rPr>
          <w:rFonts w:ascii="Garamond" w:hAnsi="Garamond" w:cs="Calibri"/>
          <w:i/>
          <w:iCs/>
        </w:rPr>
        <w:t xml:space="preserve">see, </w:t>
      </w:r>
      <w:r w:rsidR="004F56D8">
        <w:rPr>
          <w:rFonts w:ascii="Garamond" w:hAnsi="Garamond" w:cs="Calibri"/>
        </w:rPr>
        <w:t xml:space="preserve">25 Del. C. </w:t>
      </w:r>
      <w:r w:rsidR="004F56D8" w:rsidRPr="004B6639">
        <w:rPr>
          <w:rFonts w:ascii="Garamond" w:hAnsi="Garamond" w:cs="Calibri"/>
        </w:rPr>
        <w:t>§</w:t>
      </w:r>
      <w:r w:rsidR="004F56D8">
        <w:rPr>
          <w:rFonts w:ascii="Garamond" w:hAnsi="Garamond" w:cs="Calibri"/>
        </w:rPr>
        <w:t xml:space="preserve"> 503(b)(110 years</w:t>
      </w:r>
      <w:r w:rsidR="00AF5602">
        <w:rPr>
          <w:rFonts w:ascii="Garamond" w:hAnsi="Garamond" w:cs="Calibri"/>
        </w:rPr>
        <w:t>))</w:t>
      </w:r>
    </w:p>
    <w:p w14:paraId="28057947" w14:textId="6844EB55" w:rsidR="00AF5602" w:rsidRPr="00AF5602" w:rsidRDefault="00AF5602" w:rsidP="00FA04EA">
      <w:pPr>
        <w:pStyle w:val="NoSpacing"/>
        <w:numPr>
          <w:ilvl w:val="2"/>
          <w:numId w:val="1"/>
        </w:numPr>
        <w:spacing w:before="160"/>
        <w:contextualSpacing w:val="0"/>
        <w:rPr>
          <w:rFonts w:ascii="Garamond" w:hAnsi="Garamond"/>
        </w:rPr>
      </w:pPr>
      <w:r>
        <w:rPr>
          <w:rFonts w:ascii="Garamond" w:hAnsi="Garamond" w:cs="Calibri"/>
        </w:rPr>
        <w:t xml:space="preserve">New York has two rules against </w:t>
      </w:r>
      <w:r w:rsidR="000A749B">
        <w:rPr>
          <w:rFonts w:ascii="Garamond" w:hAnsi="Garamond" w:cs="Calibri"/>
        </w:rPr>
        <w:t>perpetuities</w:t>
      </w:r>
      <w:r>
        <w:rPr>
          <w:rFonts w:ascii="Garamond" w:hAnsi="Garamond" w:cs="Calibri"/>
        </w:rPr>
        <w:t>.</w:t>
      </w:r>
    </w:p>
    <w:p w14:paraId="436B2628" w14:textId="2823F49D" w:rsidR="00AF5602" w:rsidRPr="006113BD" w:rsidRDefault="00AF5602" w:rsidP="00AF5602">
      <w:pPr>
        <w:pStyle w:val="NoSpacing"/>
        <w:numPr>
          <w:ilvl w:val="3"/>
          <w:numId w:val="1"/>
        </w:numPr>
        <w:spacing w:before="160"/>
        <w:contextualSpacing w:val="0"/>
        <w:rPr>
          <w:rFonts w:ascii="Garamond" w:hAnsi="Garamond"/>
        </w:rPr>
      </w:pPr>
      <w:r>
        <w:rPr>
          <w:rFonts w:ascii="Garamond" w:hAnsi="Garamond" w:cs="Calibri"/>
        </w:rPr>
        <w:lastRenderedPageBreak/>
        <w:t>The rule against the undue suspension of the power of alienation, now EPTL 9-1</w:t>
      </w:r>
      <w:r w:rsidR="00C70D8E">
        <w:rPr>
          <w:rFonts w:ascii="Garamond" w:hAnsi="Garamond" w:cs="Calibri"/>
        </w:rPr>
        <w:t xml:space="preserve">.1(a), </w:t>
      </w:r>
      <w:r w:rsidR="006113BD">
        <w:rPr>
          <w:rFonts w:ascii="Garamond" w:hAnsi="Garamond" w:cs="Calibri"/>
        </w:rPr>
        <w:t>which preserves almost verbatim the language of the Revised Statutes of 1830</w:t>
      </w:r>
    </w:p>
    <w:p w14:paraId="760A1951" w14:textId="072192F4" w:rsidR="006113BD" w:rsidRPr="0012510B" w:rsidRDefault="006113BD" w:rsidP="00AF5602">
      <w:pPr>
        <w:pStyle w:val="NoSpacing"/>
        <w:numPr>
          <w:ilvl w:val="3"/>
          <w:numId w:val="1"/>
        </w:numPr>
        <w:spacing w:before="160"/>
        <w:contextualSpacing w:val="0"/>
        <w:rPr>
          <w:rFonts w:ascii="Garamond" w:hAnsi="Garamond"/>
        </w:rPr>
      </w:pPr>
      <w:r>
        <w:rPr>
          <w:rFonts w:ascii="Garamond" w:hAnsi="Garamond" w:cs="Calibri"/>
        </w:rPr>
        <w:t>The rule against too remote vesting, EPTL 9-1.1(b)</w:t>
      </w:r>
      <w:r w:rsidR="00BF46AA">
        <w:rPr>
          <w:rFonts w:ascii="Garamond" w:hAnsi="Garamond" w:cs="Calibri"/>
        </w:rPr>
        <w:t xml:space="preserve">, enacted </w:t>
      </w:r>
      <w:r w:rsidR="0012510B">
        <w:rPr>
          <w:rFonts w:ascii="Garamond" w:hAnsi="Garamond" w:cs="Calibri"/>
        </w:rPr>
        <w:t xml:space="preserve">in the late 1950s.  </w:t>
      </w:r>
    </w:p>
    <w:p w14:paraId="1C8802D3" w14:textId="0543D51F" w:rsidR="0012510B" w:rsidRPr="000A749B" w:rsidRDefault="0012510B" w:rsidP="00AF5602">
      <w:pPr>
        <w:pStyle w:val="NoSpacing"/>
        <w:numPr>
          <w:ilvl w:val="3"/>
          <w:numId w:val="1"/>
        </w:numPr>
        <w:spacing w:before="160"/>
        <w:contextualSpacing w:val="0"/>
        <w:rPr>
          <w:rFonts w:ascii="Garamond" w:hAnsi="Garamond"/>
        </w:rPr>
      </w:pPr>
      <w:r>
        <w:rPr>
          <w:rFonts w:ascii="Garamond" w:hAnsi="Garamond" w:cs="Calibri"/>
        </w:rPr>
        <w:t xml:space="preserve">The original period was two lives in being at the creation of the interest which </w:t>
      </w:r>
      <w:r w:rsidR="00D64BFE">
        <w:rPr>
          <w:rFonts w:ascii="Garamond" w:hAnsi="Garamond" w:cs="Calibri"/>
        </w:rPr>
        <w:t xml:space="preserve">in 1960 finally became the traditional lives in being plus 21 years and a period of </w:t>
      </w:r>
      <w:r w:rsidR="00865C91">
        <w:rPr>
          <w:rFonts w:ascii="Garamond" w:hAnsi="Garamond" w:cs="Calibri"/>
        </w:rPr>
        <w:t xml:space="preserve">gestation. L. </w:t>
      </w:r>
      <w:r w:rsidR="00F97E00">
        <w:rPr>
          <w:rFonts w:ascii="Garamond" w:hAnsi="Garamond" w:cs="Calibri"/>
        </w:rPr>
        <w:t xml:space="preserve">1960 c. 448. </w:t>
      </w:r>
    </w:p>
    <w:p w14:paraId="56A38AE0" w14:textId="2232248D" w:rsidR="000A749B" w:rsidRPr="001D16A6" w:rsidRDefault="000A749B" w:rsidP="000A749B">
      <w:pPr>
        <w:pStyle w:val="NoSpacing"/>
        <w:numPr>
          <w:ilvl w:val="2"/>
          <w:numId w:val="1"/>
        </w:numPr>
        <w:spacing w:before="160"/>
        <w:contextualSpacing w:val="0"/>
        <w:rPr>
          <w:rFonts w:ascii="Garamond" w:hAnsi="Garamond"/>
        </w:rPr>
      </w:pPr>
      <w:r>
        <w:rPr>
          <w:rFonts w:ascii="Garamond" w:hAnsi="Garamond" w:cs="Calibri"/>
        </w:rPr>
        <w:t xml:space="preserve">Why the Rule is near extinction </w:t>
      </w:r>
      <w:r w:rsidR="001D16A6">
        <w:rPr>
          <w:rFonts w:ascii="Garamond" w:hAnsi="Garamond" w:cs="Calibri"/>
        </w:rPr>
        <w:t>is a question with several possible answers.  Just to suggest:</w:t>
      </w:r>
    </w:p>
    <w:p w14:paraId="369F63E8" w14:textId="6F6D8A07" w:rsidR="001D16A6" w:rsidRPr="007970AF" w:rsidRDefault="001D16A6" w:rsidP="001D16A6">
      <w:pPr>
        <w:pStyle w:val="NoSpacing"/>
        <w:numPr>
          <w:ilvl w:val="3"/>
          <w:numId w:val="1"/>
        </w:numPr>
        <w:spacing w:before="160"/>
        <w:contextualSpacing w:val="0"/>
        <w:rPr>
          <w:rFonts w:ascii="Garamond" w:hAnsi="Garamond"/>
        </w:rPr>
      </w:pPr>
      <w:r>
        <w:rPr>
          <w:rFonts w:ascii="Garamond" w:hAnsi="Garamond" w:cs="Calibri"/>
        </w:rPr>
        <w:t>It has long been presented as inanely complicated</w:t>
      </w:r>
      <w:r w:rsidR="00233073">
        <w:rPr>
          <w:rFonts w:ascii="Garamond" w:hAnsi="Garamond" w:cs="Calibri"/>
        </w:rPr>
        <w:t xml:space="preserve"> and taught, I sometimes fear, as a sort of hazing exer</w:t>
      </w:r>
      <w:r w:rsidR="00A44093">
        <w:rPr>
          <w:rFonts w:ascii="Garamond" w:hAnsi="Garamond" w:cs="Calibri"/>
        </w:rPr>
        <w:t>cise with the not so subliminal message that “</w:t>
      </w:r>
      <w:r w:rsidR="007970AF">
        <w:rPr>
          <w:rFonts w:ascii="Garamond" w:hAnsi="Garamond" w:cs="Calibri"/>
        </w:rPr>
        <w:t>most of you will</w:t>
      </w:r>
      <w:r w:rsidR="00A44093">
        <w:rPr>
          <w:rFonts w:ascii="Garamond" w:hAnsi="Garamond" w:cs="Calibri"/>
        </w:rPr>
        <w:t xml:space="preserve"> never understand this</w:t>
      </w:r>
      <w:r w:rsidR="007970AF">
        <w:rPr>
          <w:rFonts w:ascii="Garamond" w:hAnsi="Garamond" w:cs="Calibri"/>
        </w:rPr>
        <w:t>.”</w:t>
      </w:r>
    </w:p>
    <w:p w14:paraId="62B3EA2C" w14:textId="77777777" w:rsidR="006102B0" w:rsidRPr="006102B0" w:rsidRDefault="007970AF" w:rsidP="001D16A6">
      <w:pPr>
        <w:pStyle w:val="NoSpacing"/>
        <w:numPr>
          <w:ilvl w:val="3"/>
          <w:numId w:val="1"/>
        </w:numPr>
        <w:spacing w:before="160"/>
        <w:contextualSpacing w:val="0"/>
        <w:rPr>
          <w:rFonts w:ascii="Garamond" w:hAnsi="Garamond"/>
        </w:rPr>
      </w:pPr>
      <w:r>
        <w:rPr>
          <w:rFonts w:ascii="Garamond" w:hAnsi="Garamond" w:cs="Calibri"/>
        </w:rPr>
        <w:t>A lack of emphasis on the best solution: a saving clause</w:t>
      </w:r>
    </w:p>
    <w:p w14:paraId="53BBEC11" w14:textId="2F06AD56" w:rsidR="007970AF" w:rsidRPr="007970AF" w:rsidRDefault="006102B0" w:rsidP="001D16A6">
      <w:pPr>
        <w:pStyle w:val="NoSpacing"/>
        <w:numPr>
          <w:ilvl w:val="3"/>
          <w:numId w:val="1"/>
        </w:numPr>
        <w:spacing w:before="160"/>
        <w:contextualSpacing w:val="0"/>
        <w:rPr>
          <w:rFonts w:ascii="Garamond" w:hAnsi="Garamond"/>
        </w:rPr>
      </w:pPr>
      <w:r>
        <w:rPr>
          <w:rFonts w:ascii="Garamond" w:hAnsi="Garamond" w:cs="Calibri"/>
        </w:rPr>
        <w:t xml:space="preserve">A lack of emphasis on the most common ways to violate the Rule, especially </w:t>
      </w:r>
      <w:r w:rsidR="007A53F4">
        <w:rPr>
          <w:rFonts w:ascii="Garamond" w:hAnsi="Garamond" w:cs="Calibri"/>
        </w:rPr>
        <w:t xml:space="preserve">by the exercise of special and all testamentary </w:t>
      </w:r>
      <w:r>
        <w:rPr>
          <w:rFonts w:ascii="Garamond" w:hAnsi="Garamond" w:cs="Calibri"/>
        </w:rPr>
        <w:t xml:space="preserve">powers of </w:t>
      </w:r>
      <w:r w:rsidR="007A53F4">
        <w:rPr>
          <w:rFonts w:ascii="Garamond" w:hAnsi="Garamond" w:cs="Calibri"/>
        </w:rPr>
        <w:t>appointment</w:t>
      </w:r>
      <w:r w:rsidR="007A1F23">
        <w:rPr>
          <w:rFonts w:ascii="Garamond" w:hAnsi="Garamond" w:cs="Calibri"/>
        </w:rPr>
        <w:t xml:space="preserve"> that don’t pay attention to the Rule</w:t>
      </w:r>
      <w:r w:rsidR="007970AF">
        <w:rPr>
          <w:rFonts w:ascii="Garamond" w:hAnsi="Garamond" w:cs="Calibri"/>
        </w:rPr>
        <w:t>.</w:t>
      </w:r>
    </w:p>
    <w:p w14:paraId="1528B3DC" w14:textId="31576C84" w:rsidR="007970AF" w:rsidRPr="00B20BFF" w:rsidRDefault="001A35DD" w:rsidP="001D16A6">
      <w:pPr>
        <w:pStyle w:val="NoSpacing"/>
        <w:numPr>
          <w:ilvl w:val="3"/>
          <w:numId w:val="1"/>
        </w:numPr>
        <w:spacing w:before="160"/>
        <w:contextualSpacing w:val="0"/>
        <w:rPr>
          <w:rFonts w:ascii="Garamond" w:hAnsi="Garamond"/>
        </w:rPr>
      </w:pPr>
      <w:r>
        <w:rPr>
          <w:rFonts w:ascii="Garamond" w:hAnsi="Garamond" w:cs="Calibri"/>
        </w:rPr>
        <w:t xml:space="preserve">Inconsistent legislative </w:t>
      </w:r>
      <w:r w:rsidR="00767928">
        <w:rPr>
          <w:rFonts w:ascii="Garamond" w:hAnsi="Garamond" w:cs="Calibri"/>
        </w:rPr>
        <w:t xml:space="preserve">and academic </w:t>
      </w:r>
      <w:r>
        <w:rPr>
          <w:rFonts w:ascii="Garamond" w:hAnsi="Garamond" w:cs="Calibri"/>
        </w:rPr>
        <w:t xml:space="preserve">approaches: “wait and see” is sometimes as difficult to apply as the Rule; </w:t>
      </w:r>
      <w:r w:rsidR="0046604F">
        <w:rPr>
          <w:rFonts w:ascii="Garamond" w:hAnsi="Garamond" w:cs="Calibri"/>
        </w:rPr>
        <w:t xml:space="preserve">the USRAP ran into difficulties with its interaction with the generation skipping transfer tax; the Restatements went from wait and see, to the USRAP, to a fixed period. </w:t>
      </w:r>
      <w:r>
        <w:rPr>
          <w:rFonts w:ascii="Garamond" w:hAnsi="Garamond" w:cs="Calibri"/>
        </w:rPr>
        <w:t xml:space="preserve"> </w:t>
      </w:r>
    </w:p>
    <w:p w14:paraId="72EA098B" w14:textId="26298CF0" w:rsidR="00B20BFF" w:rsidRDefault="00B20BFF" w:rsidP="001D16A6">
      <w:pPr>
        <w:pStyle w:val="NoSpacing"/>
        <w:numPr>
          <w:ilvl w:val="3"/>
          <w:numId w:val="1"/>
        </w:numPr>
        <w:spacing w:before="160"/>
        <w:contextualSpacing w:val="0"/>
        <w:rPr>
          <w:rFonts w:ascii="Garamond" w:hAnsi="Garamond"/>
        </w:rPr>
      </w:pPr>
      <w:r>
        <w:rPr>
          <w:rFonts w:ascii="Garamond" w:hAnsi="Garamond" w:cs="Calibri"/>
        </w:rPr>
        <w:t>But whether a symptom or a driving force—the next topic</w:t>
      </w:r>
    </w:p>
    <w:p w14:paraId="743E30B5" w14:textId="1F758E86" w:rsidR="00477ADA" w:rsidRDefault="00000AB9" w:rsidP="00637866">
      <w:pPr>
        <w:pStyle w:val="NoSpacing"/>
        <w:numPr>
          <w:ilvl w:val="1"/>
          <w:numId w:val="1"/>
        </w:numPr>
        <w:spacing w:before="160"/>
        <w:contextualSpacing w:val="0"/>
        <w:rPr>
          <w:rFonts w:ascii="Garamond" w:hAnsi="Garamond"/>
        </w:rPr>
      </w:pPr>
      <w:r>
        <w:rPr>
          <w:rFonts w:ascii="Garamond" w:hAnsi="Garamond"/>
        </w:rPr>
        <w:t>Dynasty trusts</w:t>
      </w:r>
      <w:r w:rsidR="00BB3D6F">
        <w:rPr>
          <w:rFonts w:ascii="Garamond" w:hAnsi="Garamond"/>
        </w:rPr>
        <w:t xml:space="preserve"> </w:t>
      </w:r>
      <w:r>
        <w:rPr>
          <w:rFonts w:ascii="Garamond" w:hAnsi="Garamond"/>
        </w:rPr>
        <w:t xml:space="preserve"> </w:t>
      </w:r>
      <w:r w:rsidR="00202E65">
        <w:rPr>
          <w:rFonts w:ascii="Garamond" w:hAnsi="Garamond"/>
        </w:rPr>
        <w:t xml:space="preserve"> </w:t>
      </w:r>
    </w:p>
    <w:p w14:paraId="15FFB1EA" w14:textId="05FD735A" w:rsidR="00CA6EE3" w:rsidRDefault="00CA6EE3" w:rsidP="00CA6EE3">
      <w:pPr>
        <w:pStyle w:val="NoSpacing"/>
        <w:numPr>
          <w:ilvl w:val="2"/>
          <w:numId w:val="1"/>
        </w:numPr>
        <w:spacing w:before="160"/>
        <w:contextualSpacing w:val="0"/>
        <w:rPr>
          <w:rFonts w:ascii="Garamond" w:hAnsi="Garamond"/>
        </w:rPr>
      </w:pPr>
      <w:r>
        <w:rPr>
          <w:rFonts w:ascii="Garamond" w:hAnsi="Garamond"/>
        </w:rPr>
        <w:t>The end of the Rule Against Perpetuities makes possible perpetual private trusts.</w:t>
      </w:r>
    </w:p>
    <w:p w14:paraId="76523C81" w14:textId="4B81A6B7" w:rsidR="00CA6EE3" w:rsidRDefault="00CA6EE3" w:rsidP="00CA6EE3">
      <w:pPr>
        <w:pStyle w:val="NoSpacing"/>
        <w:numPr>
          <w:ilvl w:val="2"/>
          <w:numId w:val="1"/>
        </w:numPr>
        <w:spacing w:before="160"/>
        <w:contextualSpacing w:val="0"/>
        <w:rPr>
          <w:rFonts w:ascii="Garamond" w:hAnsi="Garamond"/>
        </w:rPr>
      </w:pPr>
      <w:r>
        <w:rPr>
          <w:rFonts w:ascii="Garamond" w:hAnsi="Garamond"/>
        </w:rPr>
        <w:t xml:space="preserve">Again, whether cause or effect, the use of the GST tax exemption amount to </w:t>
      </w:r>
      <w:r w:rsidR="00997D04">
        <w:rPr>
          <w:rFonts w:ascii="Garamond" w:hAnsi="Garamond"/>
        </w:rPr>
        <w:t>exempt a trust from GST tax for as long as the trust exists naturally creates the desire to make such trusts last as long as possible</w:t>
      </w:r>
      <w:r w:rsidR="00BA2CCE">
        <w:rPr>
          <w:rFonts w:ascii="Garamond" w:hAnsi="Garamond"/>
        </w:rPr>
        <w:t xml:space="preserve">, IRC </w:t>
      </w:r>
      <w:r w:rsidR="00BA2CCE" w:rsidRPr="00BA2CCE">
        <w:rPr>
          <w:rFonts w:ascii="Garamond" w:hAnsi="Garamond" w:cs="Calibri"/>
        </w:rPr>
        <w:t>§</w:t>
      </w:r>
      <w:r w:rsidR="00BA2CCE">
        <w:rPr>
          <w:rFonts w:ascii="Garamond" w:hAnsi="Garamond" w:cs="Calibri"/>
        </w:rPr>
        <w:t xml:space="preserve"> </w:t>
      </w:r>
      <w:r w:rsidR="00F75526">
        <w:rPr>
          <w:rFonts w:ascii="Garamond" w:hAnsi="Garamond" w:cs="Calibri"/>
        </w:rPr>
        <w:t>2642.</w:t>
      </w:r>
    </w:p>
    <w:p w14:paraId="31562822" w14:textId="4D6297AB" w:rsidR="00BF6525" w:rsidRDefault="00BF6525" w:rsidP="00CA6EE3">
      <w:pPr>
        <w:pStyle w:val="NoSpacing"/>
        <w:numPr>
          <w:ilvl w:val="2"/>
          <w:numId w:val="1"/>
        </w:numPr>
        <w:spacing w:before="160"/>
        <w:contextualSpacing w:val="0"/>
        <w:rPr>
          <w:rFonts w:ascii="Garamond" w:hAnsi="Garamond"/>
        </w:rPr>
      </w:pPr>
      <w:r>
        <w:rPr>
          <w:rFonts w:ascii="Garamond" w:hAnsi="Garamond"/>
        </w:rPr>
        <w:t xml:space="preserve">Couple that desire with the apparent attraction of creating </w:t>
      </w:r>
      <w:r w:rsidR="00493CEC">
        <w:rPr>
          <w:rFonts w:ascii="Garamond" w:hAnsi="Garamond"/>
        </w:rPr>
        <w:t>a</w:t>
      </w:r>
      <w:r>
        <w:rPr>
          <w:rFonts w:ascii="Garamond" w:hAnsi="Garamond"/>
        </w:rPr>
        <w:t xml:space="preserve"> perpetual endowment of one’s family li</w:t>
      </w:r>
      <w:r w:rsidR="00D17F3B">
        <w:rPr>
          <w:rFonts w:ascii="Garamond" w:hAnsi="Garamond"/>
        </w:rPr>
        <w:t>ne and we get the dynasty trust.</w:t>
      </w:r>
    </w:p>
    <w:p w14:paraId="108CB223" w14:textId="43BE4792" w:rsidR="00A83B06" w:rsidRDefault="00A83B06" w:rsidP="00CA6EE3">
      <w:pPr>
        <w:pStyle w:val="NoSpacing"/>
        <w:numPr>
          <w:ilvl w:val="2"/>
          <w:numId w:val="1"/>
        </w:numPr>
        <w:spacing w:before="160"/>
        <w:contextualSpacing w:val="0"/>
        <w:rPr>
          <w:rFonts w:ascii="Garamond" w:hAnsi="Garamond"/>
        </w:rPr>
      </w:pPr>
      <w:r>
        <w:rPr>
          <w:rFonts w:ascii="Garamond" w:hAnsi="Garamond"/>
        </w:rPr>
        <w:t xml:space="preserve">There are difficulties inherent in the perpetual private </w:t>
      </w:r>
      <w:r w:rsidR="00493CEC">
        <w:rPr>
          <w:rFonts w:ascii="Garamond" w:hAnsi="Garamond"/>
        </w:rPr>
        <w:t>trust.</w:t>
      </w:r>
    </w:p>
    <w:p w14:paraId="385CD050" w14:textId="77777777" w:rsidR="00065C96" w:rsidRDefault="00A83B06" w:rsidP="00A83B06">
      <w:pPr>
        <w:pStyle w:val="NoSpacing"/>
        <w:numPr>
          <w:ilvl w:val="3"/>
          <w:numId w:val="1"/>
        </w:numPr>
        <w:spacing w:before="160"/>
        <w:contextualSpacing w:val="0"/>
        <w:rPr>
          <w:rFonts w:ascii="Garamond" w:hAnsi="Garamond"/>
        </w:rPr>
      </w:pPr>
      <w:r>
        <w:rPr>
          <w:rFonts w:ascii="Garamond" w:hAnsi="Garamond"/>
        </w:rPr>
        <w:t>Trustee succession</w:t>
      </w:r>
      <w:r w:rsidR="00065C96">
        <w:rPr>
          <w:rFonts w:ascii="Garamond" w:hAnsi="Garamond"/>
        </w:rPr>
        <w:t xml:space="preserve"> (perhaps the private trust company is part of the answer)</w:t>
      </w:r>
    </w:p>
    <w:p w14:paraId="24721EC2" w14:textId="77777777" w:rsidR="00D054E7" w:rsidRDefault="00065C96" w:rsidP="00A83B06">
      <w:pPr>
        <w:pStyle w:val="NoSpacing"/>
        <w:numPr>
          <w:ilvl w:val="3"/>
          <w:numId w:val="1"/>
        </w:numPr>
        <w:spacing w:before="160"/>
        <w:contextualSpacing w:val="0"/>
        <w:rPr>
          <w:rFonts w:ascii="Garamond" w:hAnsi="Garamond"/>
        </w:rPr>
      </w:pPr>
      <w:r>
        <w:rPr>
          <w:rFonts w:ascii="Garamond" w:hAnsi="Garamond"/>
        </w:rPr>
        <w:t>Obsolescence of terms as society changes</w:t>
      </w:r>
    </w:p>
    <w:p w14:paraId="098C1173" w14:textId="038DAC67" w:rsidR="00D054E7" w:rsidRDefault="00D054E7" w:rsidP="00D054E7">
      <w:pPr>
        <w:pStyle w:val="NoSpacing"/>
        <w:numPr>
          <w:ilvl w:val="4"/>
          <w:numId w:val="1"/>
        </w:numPr>
        <w:spacing w:before="160"/>
        <w:contextualSpacing w:val="0"/>
        <w:rPr>
          <w:rFonts w:ascii="Garamond" w:hAnsi="Garamond"/>
        </w:rPr>
      </w:pPr>
      <w:r>
        <w:rPr>
          <w:rFonts w:ascii="Garamond" w:hAnsi="Garamond"/>
        </w:rPr>
        <w:t>Trustees given discretion to pay for a beneficiary’s education through the bachelor’s degree. Will that make sense forever?</w:t>
      </w:r>
    </w:p>
    <w:p w14:paraId="5587E1AF" w14:textId="0E849F0E" w:rsidR="00D17F3B" w:rsidRDefault="002C1B22" w:rsidP="00D054E7">
      <w:pPr>
        <w:pStyle w:val="NoSpacing"/>
        <w:numPr>
          <w:ilvl w:val="4"/>
          <w:numId w:val="1"/>
        </w:numPr>
        <w:spacing w:before="160"/>
        <w:contextualSpacing w:val="0"/>
        <w:rPr>
          <w:rFonts w:ascii="Garamond" w:hAnsi="Garamond"/>
        </w:rPr>
      </w:pPr>
      <w:r>
        <w:rPr>
          <w:rFonts w:ascii="Garamond" w:hAnsi="Garamond"/>
        </w:rPr>
        <w:lastRenderedPageBreak/>
        <w:t>C</w:t>
      </w:r>
      <w:r w:rsidR="00D054E7">
        <w:rPr>
          <w:rFonts w:ascii="Garamond" w:hAnsi="Garamond"/>
        </w:rPr>
        <w:t xml:space="preserve">hanges in family structure </w:t>
      </w:r>
      <w:r>
        <w:rPr>
          <w:rFonts w:ascii="Garamond" w:hAnsi="Garamond"/>
        </w:rPr>
        <w:t xml:space="preserve">and advances in reproductive </w:t>
      </w:r>
      <w:r w:rsidR="00781635">
        <w:rPr>
          <w:rFonts w:ascii="Garamond" w:hAnsi="Garamond"/>
        </w:rPr>
        <w:t>biology make</w:t>
      </w:r>
      <w:r w:rsidR="00002BC1">
        <w:rPr>
          <w:rFonts w:ascii="Garamond" w:hAnsi="Garamond"/>
        </w:rPr>
        <w:t xml:space="preserve"> the very idea of a “family line” more problematic</w:t>
      </w:r>
      <w:r w:rsidR="00C07453">
        <w:rPr>
          <w:rFonts w:ascii="Garamond" w:hAnsi="Garamond"/>
        </w:rPr>
        <w:t>.</w:t>
      </w:r>
    </w:p>
    <w:p w14:paraId="0455F44B" w14:textId="48B3B80A" w:rsidR="00C07453" w:rsidRDefault="00C07453" w:rsidP="00C07453">
      <w:pPr>
        <w:pStyle w:val="NoSpacing"/>
        <w:numPr>
          <w:ilvl w:val="2"/>
          <w:numId w:val="1"/>
        </w:numPr>
        <w:spacing w:before="160"/>
        <w:contextualSpacing w:val="0"/>
        <w:rPr>
          <w:rFonts w:ascii="Garamond" w:hAnsi="Garamond"/>
        </w:rPr>
      </w:pPr>
      <w:r>
        <w:rPr>
          <w:rFonts w:ascii="Garamond" w:hAnsi="Garamond"/>
        </w:rPr>
        <w:t>Modification is likely to become an even more important topic as these trusts age.</w:t>
      </w:r>
    </w:p>
    <w:p w14:paraId="3C8AF960" w14:textId="6A9CF002" w:rsidR="00AA1A30" w:rsidRDefault="00AA1A30" w:rsidP="00AA1A30">
      <w:pPr>
        <w:pStyle w:val="NoSpacing"/>
        <w:numPr>
          <w:ilvl w:val="0"/>
          <w:numId w:val="1"/>
        </w:numPr>
        <w:spacing w:before="160"/>
        <w:contextualSpacing w:val="0"/>
        <w:rPr>
          <w:rFonts w:ascii="Garamond" w:hAnsi="Garamond"/>
        </w:rPr>
      </w:pPr>
      <w:r>
        <w:rPr>
          <w:rFonts w:ascii="Garamond" w:hAnsi="Garamond"/>
        </w:rPr>
        <w:t>Wealth transfer taxes</w:t>
      </w:r>
    </w:p>
    <w:p w14:paraId="74FD8515" w14:textId="32EB4B65" w:rsidR="00C46E0E" w:rsidRDefault="00D15015" w:rsidP="00C46E0E">
      <w:pPr>
        <w:pStyle w:val="NoSpacing"/>
        <w:numPr>
          <w:ilvl w:val="1"/>
          <w:numId w:val="1"/>
        </w:numPr>
        <w:spacing w:before="160"/>
        <w:contextualSpacing w:val="0"/>
        <w:rPr>
          <w:rFonts w:ascii="Garamond" w:hAnsi="Garamond"/>
        </w:rPr>
      </w:pPr>
      <w:r>
        <w:rPr>
          <w:rFonts w:ascii="Garamond" w:hAnsi="Garamond"/>
        </w:rPr>
        <w:t>The enactment of ERTA in 1981 was probably the</w:t>
      </w:r>
      <w:r w:rsidR="000646E6">
        <w:rPr>
          <w:rFonts w:ascii="Garamond" w:hAnsi="Garamond"/>
        </w:rPr>
        <w:t xml:space="preserve"> beginning of the end</w:t>
      </w:r>
      <w:r>
        <w:rPr>
          <w:rFonts w:ascii="Garamond" w:hAnsi="Garamond"/>
        </w:rPr>
        <w:t xml:space="preserve"> for the </w:t>
      </w:r>
      <w:r w:rsidR="003509B5">
        <w:rPr>
          <w:rFonts w:ascii="Garamond" w:hAnsi="Garamond"/>
        </w:rPr>
        <w:t xml:space="preserve">federal </w:t>
      </w:r>
      <w:r>
        <w:rPr>
          <w:rFonts w:ascii="Garamond" w:hAnsi="Garamond"/>
        </w:rPr>
        <w:t>wealth transfer taxes.</w:t>
      </w:r>
    </w:p>
    <w:p w14:paraId="01267D13" w14:textId="65A9B25F" w:rsidR="000646E6" w:rsidRDefault="000646E6" w:rsidP="000646E6">
      <w:pPr>
        <w:pStyle w:val="NoSpacing"/>
        <w:numPr>
          <w:ilvl w:val="2"/>
          <w:numId w:val="1"/>
        </w:numPr>
        <w:spacing w:before="160"/>
        <w:contextualSpacing w:val="0"/>
        <w:rPr>
          <w:rFonts w:ascii="Garamond" w:hAnsi="Garamond"/>
        </w:rPr>
      </w:pPr>
      <w:r>
        <w:rPr>
          <w:rFonts w:ascii="Garamond" w:hAnsi="Garamond"/>
        </w:rPr>
        <w:t xml:space="preserve">The increase in the exemption </w:t>
      </w:r>
      <w:r w:rsidR="00574D48">
        <w:rPr>
          <w:rFonts w:ascii="Garamond" w:hAnsi="Garamond"/>
        </w:rPr>
        <w:t xml:space="preserve">amount </w:t>
      </w:r>
      <w:r w:rsidR="00CC0261">
        <w:rPr>
          <w:rFonts w:ascii="Garamond" w:hAnsi="Garamond"/>
        </w:rPr>
        <w:t>probably made it easier to imagine a world in which the taxes do not exist at all</w:t>
      </w:r>
      <w:r w:rsidR="00605231">
        <w:rPr>
          <w:rFonts w:ascii="Garamond" w:hAnsi="Garamond"/>
        </w:rPr>
        <w:t xml:space="preserve">—all one </w:t>
      </w:r>
      <w:r w:rsidR="00500235">
        <w:rPr>
          <w:rFonts w:ascii="Garamond" w:hAnsi="Garamond"/>
        </w:rPr>
        <w:t>must</w:t>
      </w:r>
      <w:r w:rsidR="00605231">
        <w:rPr>
          <w:rFonts w:ascii="Garamond" w:hAnsi="Garamond"/>
        </w:rPr>
        <w:t xml:space="preserve"> do is raise the exempt amount to “unlimited</w:t>
      </w:r>
      <w:r w:rsidR="00B26E5F">
        <w:rPr>
          <w:rFonts w:ascii="Garamond" w:hAnsi="Garamond"/>
        </w:rPr>
        <w:t>.</w:t>
      </w:r>
      <w:r w:rsidR="00605231">
        <w:rPr>
          <w:rFonts w:ascii="Garamond" w:hAnsi="Garamond"/>
        </w:rPr>
        <w:t>”</w:t>
      </w:r>
      <w:r w:rsidR="00B26E5F">
        <w:rPr>
          <w:rFonts w:ascii="Garamond" w:hAnsi="Garamond"/>
        </w:rPr>
        <w:t xml:space="preserve"> Subsequent increases in the exemption amount to levels that make the taxes apply only those with the resources to minimize its effects only makes the effect stronger.</w:t>
      </w:r>
      <w:r w:rsidR="00090121">
        <w:rPr>
          <w:rFonts w:ascii="Garamond" w:hAnsi="Garamond"/>
        </w:rPr>
        <w:t xml:space="preserve"> </w:t>
      </w:r>
      <w:r w:rsidR="00C9601E">
        <w:rPr>
          <w:rFonts w:ascii="Garamond" w:hAnsi="Garamond"/>
        </w:rPr>
        <w:t xml:space="preserve">In 2024, the </w:t>
      </w:r>
      <w:r w:rsidR="0026191D">
        <w:rPr>
          <w:rFonts w:ascii="Garamond" w:hAnsi="Garamond"/>
        </w:rPr>
        <w:t>applicable exclusion amount is $13</w:t>
      </w:r>
      <w:r w:rsidR="00E73E8A">
        <w:rPr>
          <w:rFonts w:ascii="Garamond" w:hAnsi="Garamond"/>
        </w:rPr>
        <w:t>,610,000</w:t>
      </w:r>
      <w:r w:rsidR="003339CC">
        <w:rPr>
          <w:rFonts w:ascii="Garamond" w:hAnsi="Garamond"/>
        </w:rPr>
        <w:t>, Rev. Proc. 2023-24.</w:t>
      </w:r>
    </w:p>
    <w:p w14:paraId="0CF930A2" w14:textId="779261C4" w:rsidR="00605231" w:rsidRDefault="00B26E5F" w:rsidP="000646E6">
      <w:pPr>
        <w:pStyle w:val="NoSpacing"/>
        <w:numPr>
          <w:ilvl w:val="2"/>
          <w:numId w:val="1"/>
        </w:numPr>
        <w:spacing w:before="160"/>
        <w:contextualSpacing w:val="0"/>
        <w:rPr>
          <w:rFonts w:ascii="Garamond" w:hAnsi="Garamond"/>
        </w:rPr>
      </w:pPr>
      <w:r>
        <w:rPr>
          <w:rFonts w:ascii="Garamond" w:hAnsi="Garamond"/>
        </w:rPr>
        <w:t xml:space="preserve">In retrospect, the </w:t>
      </w:r>
      <w:r w:rsidR="00591FF5">
        <w:rPr>
          <w:rFonts w:ascii="Garamond" w:hAnsi="Garamond"/>
        </w:rPr>
        <w:t xml:space="preserve">enactment of the current Generation Skipping Transfer </w:t>
      </w:r>
      <w:r w:rsidR="00DE7E2B">
        <w:rPr>
          <w:rFonts w:ascii="Garamond" w:hAnsi="Garamond"/>
        </w:rPr>
        <w:t>Tax in</w:t>
      </w:r>
      <w:r w:rsidR="00821BC4">
        <w:rPr>
          <w:rFonts w:ascii="Garamond" w:hAnsi="Garamond"/>
        </w:rPr>
        <w:t xml:space="preserve"> the Tax Reform Act of </w:t>
      </w:r>
      <w:r w:rsidR="00830233">
        <w:rPr>
          <w:rFonts w:ascii="Garamond" w:hAnsi="Garamond"/>
        </w:rPr>
        <w:t xml:space="preserve">1986 </w:t>
      </w:r>
      <w:r w:rsidR="00FF4634">
        <w:rPr>
          <w:rFonts w:ascii="Garamond" w:hAnsi="Garamond"/>
        </w:rPr>
        <w:t>(P</w:t>
      </w:r>
      <w:r w:rsidR="005A1C71">
        <w:rPr>
          <w:rFonts w:ascii="Garamond" w:hAnsi="Garamond"/>
        </w:rPr>
        <w:t>ub. L. No. 99-514</w:t>
      </w:r>
      <w:r w:rsidR="00821BC4">
        <w:rPr>
          <w:rFonts w:ascii="Garamond" w:hAnsi="Garamond"/>
        </w:rPr>
        <w:t xml:space="preserve">, </w:t>
      </w:r>
      <w:r w:rsidR="00821BC4" w:rsidRPr="003509B5">
        <w:rPr>
          <w:rFonts w:ascii="Garamond" w:hAnsi="Garamond" w:cs="Calibri"/>
        </w:rPr>
        <w:t>§§</w:t>
      </w:r>
      <w:r w:rsidR="00821BC4">
        <w:rPr>
          <w:rFonts w:ascii="Garamond" w:hAnsi="Garamond"/>
        </w:rPr>
        <w:t xml:space="preserve"> </w:t>
      </w:r>
      <w:r w:rsidR="003509B5">
        <w:rPr>
          <w:rFonts w:ascii="Garamond" w:hAnsi="Garamond"/>
        </w:rPr>
        <w:t xml:space="preserve">1431-1433) </w:t>
      </w:r>
      <w:r w:rsidR="00591FF5">
        <w:rPr>
          <w:rFonts w:ascii="Garamond" w:hAnsi="Garamond"/>
        </w:rPr>
        <w:t xml:space="preserve">seems like an anomaly.  </w:t>
      </w:r>
      <w:r w:rsidR="002F1416">
        <w:rPr>
          <w:rFonts w:ascii="Garamond" w:hAnsi="Garamond"/>
        </w:rPr>
        <w:t xml:space="preserve">The tax is a strong affirmation of the policy that the transfer of wealth should be taxed in each generation.  </w:t>
      </w:r>
    </w:p>
    <w:p w14:paraId="5D35D23F" w14:textId="7DC5A416" w:rsidR="00090121" w:rsidRDefault="00090121" w:rsidP="000646E6">
      <w:pPr>
        <w:pStyle w:val="NoSpacing"/>
        <w:numPr>
          <w:ilvl w:val="2"/>
          <w:numId w:val="1"/>
        </w:numPr>
        <w:spacing w:before="160"/>
        <w:contextualSpacing w:val="0"/>
        <w:rPr>
          <w:rFonts w:ascii="Garamond" w:hAnsi="Garamond"/>
        </w:rPr>
      </w:pPr>
      <w:r>
        <w:rPr>
          <w:rFonts w:ascii="Garamond" w:hAnsi="Garamond"/>
        </w:rPr>
        <w:t xml:space="preserve">Anomaly or not, the </w:t>
      </w:r>
      <w:r w:rsidR="007127D9">
        <w:rPr>
          <w:rFonts w:ascii="Garamond" w:hAnsi="Garamond"/>
        </w:rPr>
        <w:t>wealth transfer tax system remains under unrelenting political attack, even though it effects only a minis</w:t>
      </w:r>
      <w:r w:rsidR="00D229DA">
        <w:rPr>
          <w:rFonts w:ascii="Garamond" w:hAnsi="Garamond"/>
        </w:rPr>
        <w:t>cule percentage of the U.S. population.</w:t>
      </w:r>
    </w:p>
    <w:p w14:paraId="555BBFD2" w14:textId="7B75F4BF" w:rsidR="003509B5" w:rsidRDefault="00810990" w:rsidP="003509B5">
      <w:pPr>
        <w:pStyle w:val="NoSpacing"/>
        <w:numPr>
          <w:ilvl w:val="1"/>
          <w:numId w:val="1"/>
        </w:numPr>
        <w:spacing w:before="160"/>
        <w:contextualSpacing w:val="0"/>
        <w:rPr>
          <w:rFonts w:ascii="Garamond" w:hAnsi="Garamond"/>
        </w:rPr>
      </w:pPr>
      <w:r>
        <w:rPr>
          <w:rFonts w:ascii="Garamond" w:hAnsi="Garamond"/>
        </w:rPr>
        <w:t>New York estate taxes</w:t>
      </w:r>
    </w:p>
    <w:p w14:paraId="393AB6FB" w14:textId="7612A0F8" w:rsidR="00810990" w:rsidRDefault="00810990" w:rsidP="00810990">
      <w:pPr>
        <w:pStyle w:val="NoSpacing"/>
        <w:numPr>
          <w:ilvl w:val="2"/>
          <w:numId w:val="1"/>
        </w:numPr>
        <w:spacing w:before="160"/>
        <w:contextualSpacing w:val="0"/>
        <w:rPr>
          <w:rFonts w:ascii="Garamond" w:hAnsi="Garamond"/>
        </w:rPr>
      </w:pPr>
      <w:r>
        <w:rPr>
          <w:rFonts w:ascii="Garamond" w:hAnsi="Garamond"/>
        </w:rPr>
        <w:t xml:space="preserve">Until </w:t>
      </w:r>
      <w:r w:rsidR="0001192F">
        <w:rPr>
          <w:rFonts w:ascii="Garamond" w:hAnsi="Garamond"/>
        </w:rPr>
        <w:t xml:space="preserve">February 1, 2000, New York had its own estate tax which generally exceeded the federal estate tax credit of former IRC </w:t>
      </w:r>
      <w:r w:rsidR="0001192F" w:rsidRPr="0001192F">
        <w:rPr>
          <w:rFonts w:ascii="Garamond" w:hAnsi="Garamond" w:cs="Calibri"/>
        </w:rPr>
        <w:t>§</w:t>
      </w:r>
      <w:r w:rsidR="0001192F">
        <w:rPr>
          <w:rFonts w:ascii="Garamond" w:hAnsi="Garamond"/>
        </w:rPr>
        <w:t xml:space="preserve"> 2011.</w:t>
      </w:r>
    </w:p>
    <w:p w14:paraId="39D46042" w14:textId="4CF2FC7C" w:rsidR="003E29D7" w:rsidRDefault="00DE4974" w:rsidP="005A725F">
      <w:pPr>
        <w:pStyle w:val="NoSpacing"/>
        <w:numPr>
          <w:ilvl w:val="2"/>
          <w:numId w:val="1"/>
        </w:numPr>
        <w:spacing w:before="160"/>
        <w:contextualSpacing w:val="0"/>
        <w:rPr>
          <w:rFonts w:ascii="Garamond" w:hAnsi="Garamond"/>
        </w:rPr>
      </w:pPr>
      <w:r>
        <w:rPr>
          <w:rFonts w:ascii="Garamond" w:hAnsi="Garamond"/>
        </w:rPr>
        <w:t xml:space="preserve">L. 1997 c. 389 enacted a new estate tax applicable to the estate of decedents dying on or after February 1, </w:t>
      </w:r>
      <w:r w:rsidR="00781635">
        <w:rPr>
          <w:rFonts w:ascii="Garamond" w:hAnsi="Garamond"/>
        </w:rPr>
        <w:t>2000,</w:t>
      </w:r>
      <w:r>
        <w:rPr>
          <w:rFonts w:ascii="Garamond" w:hAnsi="Garamond"/>
        </w:rPr>
        <w:t xml:space="preserve"> equal to the federal credit; a so-called “sop tax.”</w:t>
      </w:r>
      <w:r w:rsidR="003E29D7">
        <w:rPr>
          <w:rFonts w:ascii="Garamond" w:hAnsi="Garamond"/>
        </w:rPr>
        <w:t xml:space="preserve"> The legislation also repealed the gift tax but left the state GST tax in place.</w:t>
      </w:r>
    </w:p>
    <w:p w14:paraId="1830D99B" w14:textId="5AA3E280" w:rsidR="00486C49" w:rsidRDefault="005A725F" w:rsidP="005450F2">
      <w:pPr>
        <w:pStyle w:val="NoSpacing"/>
        <w:numPr>
          <w:ilvl w:val="2"/>
          <w:numId w:val="1"/>
        </w:numPr>
        <w:spacing w:before="160"/>
        <w:contextualSpacing w:val="0"/>
        <w:rPr>
          <w:rFonts w:ascii="Garamond" w:hAnsi="Garamond"/>
        </w:rPr>
      </w:pPr>
      <w:r>
        <w:rPr>
          <w:rFonts w:ascii="Garamond" w:hAnsi="Garamond"/>
        </w:rPr>
        <w:t xml:space="preserve">The repeal of federal estate tax credit in </w:t>
      </w:r>
      <w:r w:rsidR="001763B0">
        <w:rPr>
          <w:rFonts w:ascii="Garamond" w:hAnsi="Garamond"/>
        </w:rPr>
        <w:t>EGTRRA in 2001</w:t>
      </w:r>
      <w:r w:rsidR="008B6160">
        <w:rPr>
          <w:rFonts w:ascii="Garamond" w:hAnsi="Garamond"/>
        </w:rPr>
        <w:t xml:space="preserve"> (Pub. L. No. </w:t>
      </w:r>
      <w:r w:rsidR="009B3A24">
        <w:rPr>
          <w:rFonts w:ascii="Garamond" w:hAnsi="Garamond"/>
        </w:rPr>
        <w:t>107-16) ended the all too brief coordination of the New York and federal estate taxes.</w:t>
      </w:r>
    </w:p>
    <w:p w14:paraId="7E7029E5" w14:textId="576D9EDF" w:rsidR="005450F2" w:rsidRDefault="005450F2" w:rsidP="005450F2">
      <w:pPr>
        <w:pStyle w:val="NoSpacing"/>
        <w:numPr>
          <w:ilvl w:val="2"/>
          <w:numId w:val="1"/>
        </w:numPr>
        <w:spacing w:before="160"/>
        <w:contextualSpacing w:val="0"/>
        <w:rPr>
          <w:rFonts w:ascii="Garamond" w:hAnsi="Garamond"/>
        </w:rPr>
      </w:pPr>
      <w:r>
        <w:rPr>
          <w:rFonts w:ascii="Garamond" w:hAnsi="Garamond"/>
        </w:rPr>
        <w:t xml:space="preserve">The system based on the federal estate tax credit </w:t>
      </w:r>
      <w:r w:rsidR="00593593">
        <w:rPr>
          <w:rFonts w:ascii="Garamond" w:hAnsi="Garamond"/>
        </w:rPr>
        <w:t xml:space="preserve">endured until </w:t>
      </w:r>
      <w:r w:rsidR="00374494">
        <w:rPr>
          <w:rFonts w:ascii="Garamond" w:hAnsi="Garamond"/>
        </w:rPr>
        <w:t xml:space="preserve">April 1, </w:t>
      </w:r>
      <w:r w:rsidR="00493CEC">
        <w:rPr>
          <w:rFonts w:ascii="Garamond" w:hAnsi="Garamond"/>
        </w:rPr>
        <w:t>2014,</w:t>
      </w:r>
      <w:r w:rsidR="00374494">
        <w:rPr>
          <w:rFonts w:ascii="Garamond" w:hAnsi="Garamond"/>
        </w:rPr>
        <w:t xml:space="preserve"> when </w:t>
      </w:r>
      <w:r w:rsidR="00F131F1">
        <w:rPr>
          <w:rFonts w:ascii="Garamond" w:hAnsi="Garamond"/>
        </w:rPr>
        <w:t xml:space="preserve">L. </w:t>
      </w:r>
      <w:r w:rsidR="003B54FC">
        <w:rPr>
          <w:rFonts w:ascii="Garamond" w:hAnsi="Garamond"/>
        </w:rPr>
        <w:t>2014 c. 59</w:t>
      </w:r>
      <w:r w:rsidR="00F17BCA">
        <w:rPr>
          <w:rFonts w:ascii="Garamond" w:hAnsi="Garamond"/>
        </w:rPr>
        <w:t>,</w:t>
      </w:r>
      <w:r w:rsidR="003B54FC">
        <w:rPr>
          <w:rFonts w:ascii="Garamond" w:hAnsi="Garamond"/>
        </w:rPr>
        <w:t xml:space="preserve"> </w:t>
      </w:r>
      <w:r w:rsidR="00D50A31">
        <w:rPr>
          <w:rFonts w:ascii="Garamond" w:hAnsi="Garamond"/>
        </w:rPr>
        <w:t xml:space="preserve">part x </w:t>
      </w:r>
      <w:r w:rsidR="003B54FC">
        <w:rPr>
          <w:rFonts w:ascii="Garamond" w:hAnsi="Garamond"/>
        </w:rPr>
        <w:t xml:space="preserve">came into effect. </w:t>
      </w:r>
      <w:r w:rsidR="0068371B">
        <w:rPr>
          <w:rFonts w:ascii="Garamond" w:hAnsi="Garamond"/>
        </w:rPr>
        <w:t>The legislation raised the ex</w:t>
      </w:r>
      <w:r w:rsidR="00D50A31">
        <w:rPr>
          <w:rFonts w:ascii="Garamond" w:hAnsi="Garamond"/>
        </w:rPr>
        <w:t>clusion</w:t>
      </w:r>
      <w:r w:rsidR="0068371B">
        <w:rPr>
          <w:rFonts w:ascii="Garamond" w:hAnsi="Garamond"/>
        </w:rPr>
        <w:t xml:space="preserve"> amount; provided a very controversial phase out </w:t>
      </w:r>
      <w:r w:rsidR="00046938">
        <w:rPr>
          <w:rFonts w:ascii="Garamond" w:hAnsi="Garamond"/>
        </w:rPr>
        <w:t>of the exemption amount (the “cliff”</w:t>
      </w:r>
      <w:r w:rsidR="00BC2C8E">
        <w:rPr>
          <w:rFonts w:ascii="Garamond" w:hAnsi="Garamond"/>
        </w:rPr>
        <w:t>) and</w:t>
      </w:r>
      <w:r w:rsidR="00046938">
        <w:rPr>
          <w:rFonts w:ascii="Garamond" w:hAnsi="Garamond"/>
        </w:rPr>
        <w:t xml:space="preserve"> repealed the </w:t>
      </w:r>
      <w:r w:rsidR="00D50A31">
        <w:rPr>
          <w:rFonts w:ascii="Garamond" w:hAnsi="Garamond"/>
        </w:rPr>
        <w:t xml:space="preserve">GST tax. </w:t>
      </w:r>
    </w:p>
    <w:p w14:paraId="6CAE377E" w14:textId="60FFD4C6" w:rsidR="00D50A31" w:rsidRDefault="00D50A31" w:rsidP="005450F2">
      <w:pPr>
        <w:pStyle w:val="NoSpacing"/>
        <w:numPr>
          <w:ilvl w:val="2"/>
          <w:numId w:val="1"/>
        </w:numPr>
        <w:spacing w:before="160"/>
        <w:contextualSpacing w:val="0"/>
        <w:rPr>
          <w:rFonts w:ascii="Garamond" w:hAnsi="Garamond"/>
        </w:rPr>
      </w:pPr>
      <w:r>
        <w:rPr>
          <w:rFonts w:ascii="Garamond" w:hAnsi="Garamond"/>
        </w:rPr>
        <w:t xml:space="preserve">While the new exclusion </w:t>
      </w:r>
      <w:r w:rsidR="00356F89">
        <w:rPr>
          <w:rFonts w:ascii="Garamond" w:hAnsi="Garamond"/>
        </w:rPr>
        <w:t xml:space="preserve">as adjusted for inflation approximated the federal amount, the doubling of the </w:t>
      </w:r>
      <w:r w:rsidR="00673057">
        <w:rPr>
          <w:rFonts w:ascii="Garamond" w:hAnsi="Garamond"/>
        </w:rPr>
        <w:t xml:space="preserve">federal exclusion amount </w:t>
      </w:r>
      <w:r w:rsidR="006D58F2">
        <w:rPr>
          <w:rFonts w:ascii="Garamond" w:hAnsi="Garamond"/>
        </w:rPr>
        <w:t xml:space="preserve">from $5,000,000 to $10,000,000 </w:t>
      </w:r>
      <w:r w:rsidR="00673057">
        <w:rPr>
          <w:rFonts w:ascii="Garamond" w:hAnsi="Garamond"/>
        </w:rPr>
        <w:t>in the Tax Cut and Jobs Act of 20</w:t>
      </w:r>
      <w:r w:rsidR="00C80CB5">
        <w:rPr>
          <w:rFonts w:ascii="Garamond" w:hAnsi="Garamond"/>
        </w:rPr>
        <w:t>17</w:t>
      </w:r>
      <w:r w:rsidR="00F8319E">
        <w:rPr>
          <w:rFonts w:ascii="Garamond" w:hAnsi="Garamond"/>
        </w:rPr>
        <w:t xml:space="preserve"> (Pub. L. No. 115-97)</w:t>
      </w:r>
      <w:r w:rsidR="0032091B">
        <w:rPr>
          <w:rFonts w:ascii="Garamond" w:hAnsi="Garamond"/>
        </w:rPr>
        <w:t xml:space="preserve"> once again opened a large gap between the state and federal amounts, complicating planning (which is also complicated for married couples because New York law does not allow provide portability of the unused exclusion amount of the first spouse to die).</w:t>
      </w:r>
      <w:r w:rsidR="006D58F2">
        <w:rPr>
          <w:rFonts w:ascii="Garamond" w:hAnsi="Garamond"/>
        </w:rPr>
        <w:t xml:space="preserve"> </w:t>
      </w:r>
    </w:p>
    <w:p w14:paraId="7D90FE2D" w14:textId="2A0823AF" w:rsidR="006D58F2" w:rsidRDefault="006D58F2" w:rsidP="005450F2">
      <w:pPr>
        <w:pStyle w:val="NoSpacing"/>
        <w:numPr>
          <w:ilvl w:val="2"/>
          <w:numId w:val="1"/>
        </w:numPr>
        <w:spacing w:before="160"/>
        <w:contextualSpacing w:val="0"/>
        <w:rPr>
          <w:rFonts w:ascii="Garamond" w:hAnsi="Garamond"/>
        </w:rPr>
      </w:pPr>
      <w:r>
        <w:rPr>
          <w:rFonts w:ascii="Garamond" w:hAnsi="Garamond"/>
        </w:rPr>
        <w:lastRenderedPageBreak/>
        <w:t xml:space="preserve">The federal amount is supposed to revert to $5,000,000 adjusted for inflation at midnight December 31, 2025.  Should that occur, the New York and federal systems will be much more closely aligned—don’t count on it. </w:t>
      </w:r>
    </w:p>
    <w:sectPr w:rsidR="006D58F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50CB" w14:textId="77777777" w:rsidR="009533DD" w:rsidRDefault="009533DD" w:rsidP="001F57DB">
      <w:pPr>
        <w:spacing w:line="240" w:lineRule="auto"/>
      </w:pPr>
      <w:r>
        <w:separator/>
      </w:r>
    </w:p>
  </w:endnote>
  <w:endnote w:type="continuationSeparator" w:id="0">
    <w:p w14:paraId="2A9C08D7" w14:textId="77777777" w:rsidR="009533DD" w:rsidRDefault="009533DD" w:rsidP="001F5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7889123"/>
      <w:docPartObj>
        <w:docPartGallery w:val="Page Numbers (Bottom of Page)"/>
        <w:docPartUnique/>
      </w:docPartObj>
    </w:sdtPr>
    <w:sdtContent>
      <w:p w14:paraId="7CD2A44C" w14:textId="6F061CC7" w:rsidR="00E8145F" w:rsidRDefault="00E8145F" w:rsidP="00A81C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0CF6F" w14:textId="77777777" w:rsidR="00E8145F" w:rsidRDefault="00E8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4800750"/>
      <w:docPartObj>
        <w:docPartGallery w:val="Page Numbers (Bottom of Page)"/>
        <w:docPartUnique/>
      </w:docPartObj>
    </w:sdtPr>
    <w:sdtContent>
      <w:p w14:paraId="6E5716FF" w14:textId="0BD0F6B0" w:rsidR="00E8145F" w:rsidRDefault="00E8145F" w:rsidP="00A81C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A176CB" w14:textId="77777777" w:rsidR="00E8145F" w:rsidRDefault="00E81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DBE6" w14:textId="77777777" w:rsidR="009533DD" w:rsidRDefault="009533DD" w:rsidP="001F57DB">
      <w:pPr>
        <w:spacing w:line="240" w:lineRule="auto"/>
      </w:pPr>
      <w:r>
        <w:separator/>
      </w:r>
    </w:p>
  </w:footnote>
  <w:footnote w:type="continuationSeparator" w:id="0">
    <w:p w14:paraId="3680165D" w14:textId="77777777" w:rsidR="009533DD" w:rsidRDefault="009533DD" w:rsidP="001F57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60C"/>
    <w:multiLevelType w:val="multilevel"/>
    <w:tmpl w:val="D4C2C454"/>
    <w:lvl w:ilvl="0">
      <w:start w:val="1"/>
      <w:numFmt w:val="upperRoman"/>
      <w:lvlText w:val="%1."/>
      <w:lvlJc w:val="left"/>
      <w:pPr>
        <w:ind w:left="0" w:firstLine="0"/>
      </w:pPr>
      <w:rPr>
        <w:b w:val="0"/>
      </w:rPr>
    </w:lvl>
    <w:lvl w:ilvl="1">
      <w:start w:val="1"/>
      <w:numFmt w:val="upperLetter"/>
      <w:lvlText w:val="%2."/>
      <w:lvlJc w:val="left"/>
      <w:pPr>
        <w:ind w:left="720" w:firstLine="0"/>
      </w:pPr>
      <w:rPr>
        <w:b w:val="0"/>
      </w:rPr>
    </w:lvl>
    <w:lvl w:ilvl="2">
      <w:start w:val="1"/>
      <w:numFmt w:val="decimal"/>
      <w:lvlText w:val="%3."/>
      <w:lvlJc w:val="left"/>
      <w:pPr>
        <w:ind w:left="1440" w:firstLine="0"/>
      </w:pPr>
      <w:rPr>
        <w:b w:val="0"/>
      </w:rPr>
    </w:lvl>
    <w:lvl w:ilvl="3">
      <w:start w:val="1"/>
      <w:numFmt w:val="lowerLetter"/>
      <w:lvlText w:val="%4)"/>
      <w:lvlJc w:val="left"/>
      <w:pPr>
        <w:ind w:left="2160" w:firstLine="0"/>
      </w:pPr>
      <w:rPr>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69959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CD"/>
    <w:rsid w:val="00000697"/>
    <w:rsid w:val="00000AB9"/>
    <w:rsid w:val="00002BC1"/>
    <w:rsid w:val="00010112"/>
    <w:rsid w:val="0001038D"/>
    <w:rsid w:val="0001192F"/>
    <w:rsid w:val="0001688C"/>
    <w:rsid w:val="00017A6C"/>
    <w:rsid w:val="000237C5"/>
    <w:rsid w:val="00032A5C"/>
    <w:rsid w:val="000333A7"/>
    <w:rsid w:val="00034862"/>
    <w:rsid w:val="0003645C"/>
    <w:rsid w:val="00042448"/>
    <w:rsid w:val="000448DA"/>
    <w:rsid w:val="0004536C"/>
    <w:rsid w:val="00046938"/>
    <w:rsid w:val="000479FA"/>
    <w:rsid w:val="00050C6F"/>
    <w:rsid w:val="0005145C"/>
    <w:rsid w:val="00053A8F"/>
    <w:rsid w:val="0005573D"/>
    <w:rsid w:val="000557DC"/>
    <w:rsid w:val="00061A11"/>
    <w:rsid w:val="000646E6"/>
    <w:rsid w:val="00064A6B"/>
    <w:rsid w:val="00064A92"/>
    <w:rsid w:val="00065C96"/>
    <w:rsid w:val="00071EE6"/>
    <w:rsid w:val="000751BC"/>
    <w:rsid w:val="000760D3"/>
    <w:rsid w:val="000841F5"/>
    <w:rsid w:val="0008790A"/>
    <w:rsid w:val="00090121"/>
    <w:rsid w:val="00093F6A"/>
    <w:rsid w:val="00096ED7"/>
    <w:rsid w:val="000A15E8"/>
    <w:rsid w:val="000A1F92"/>
    <w:rsid w:val="000A3C47"/>
    <w:rsid w:val="000A4689"/>
    <w:rsid w:val="000A4D18"/>
    <w:rsid w:val="000A6B81"/>
    <w:rsid w:val="000A749B"/>
    <w:rsid w:val="000A7B2F"/>
    <w:rsid w:val="000B0887"/>
    <w:rsid w:val="000B31FC"/>
    <w:rsid w:val="000B3E26"/>
    <w:rsid w:val="000C057F"/>
    <w:rsid w:val="000C547A"/>
    <w:rsid w:val="000C705F"/>
    <w:rsid w:val="000D04BD"/>
    <w:rsid w:val="000D2031"/>
    <w:rsid w:val="000D2F1F"/>
    <w:rsid w:val="000D766A"/>
    <w:rsid w:val="000D7AB8"/>
    <w:rsid w:val="000E15D6"/>
    <w:rsid w:val="000E2258"/>
    <w:rsid w:val="000E4D4A"/>
    <w:rsid w:val="000E72F9"/>
    <w:rsid w:val="000F12BB"/>
    <w:rsid w:val="000F3431"/>
    <w:rsid w:val="000F5811"/>
    <w:rsid w:val="000F6733"/>
    <w:rsid w:val="00101EBD"/>
    <w:rsid w:val="00102AED"/>
    <w:rsid w:val="00106E69"/>
    <w:rsid w:val="00120D66"/>
    <w:rsid w:val="0012179E"/>
    <w:rsid w:val="00123950"/>
    <w:rsid w:val="00124E93"/>
    <w:rsid w:val="0012510B"/>
    <w:rsid w:val="0012685F"/>
    <w:rsid w:val="0013122E"/>
    <w:rsid w:val="0013334F"/>
    <w:rsid w:val="00135BF3"/>
    <w:rsid w:val="0013704A"/>
    <w:rsid w:val="00144C27"/>
    <w:rsid w:val="001535B4"/>
    <w:rsid w:val="0015571B"/>
    <w:rsid w:val="0016208C"/>
    <w:rsid w:val="001712CF"/>
    <w:rsid w:val="001743D4"/>
    <w:rsid w:val="0017517B"/>
    <w:rsid w:val="001763B0"/>
    <w:rsid w:val="001815C6"/>
    <w:rsid w:val="00183A11"/>
    <w:rsid w:val="0018726E"/>
    <w:rsid w:val="00192C2F"/>
    <w:rsid w:val="00196DC5"/>
    <w:rsid w:val="00196F54"/>
    <w:rsid w:val="001A35DD"/>
    <w:rsid w:val="001A4677"/>
    <w:rsid w:val="001B759B"/>
    <w:rsid w:val="001B7D52"/>
    <w:rsid w:val="001C17B9"/>
    <w:rsid w:val="001C4FFE"/>
    <w:rsid w:val="001C5481"/>
    <w:rsid w:val="001C7D55"/>
    <w:rsid w:val="001D14CD"/>
    <w:rsid w:val="001D16A6"/>
    <w:rsid w:val="001D3B77"/>
    <w:rsid w:val="001F4DD5"/>
    <w:rsid w:val="001F5537"/>
    <w:rsid w:val="001F57DB"/>
    <w:rsid w:val="00201259"/>
    <w:rsid w:val="00201C61"/>
    <w:rsid w:val="00202E65"/>
    <w:rsid w:val="002176D9"/>
    <w:rsid w:val="00223643"/>
    <w:rsid w:val="002239B1"/>
    <w:rsid w:val="00224746"/>
    <w:rsid w:val="002319E7"/>
    <w:rsid w:val="00233073"/>
    <w:rsid w:val="0023553B"/>
    <w:rsid w:val="00236E48"/>
    <w:rsid w:val="002378EA"/>
    <w:rsid w:val="002470AD"/>
    <w:rsid w:val="00250440"/>
    <w:rsid w:val="0025261E"/>
    <w:rsid w:val="002530D4"/>
    <w:rsid w:val="00255650"/>
    <w:rsid w:val="00256A6F"/>
    <w:rsid w:val="00260A30"/>
    <w:rsid w:val="0026191D"/>
    <w:rsid w:val="002636AF"/>
    <w:rsid w:val="0026531B"/>
    <w:rsid w:val="002676A3"/>
    <w:rsid w:val="00267C39"/>
    <w:rsid w:val="00274563"/>
    <w:rsid w:val="00286DB7"/>
    <w:rsid w:val="0029335E"/>
    <w:rsid w:val="002A0AD8"/>
    <w:rsid w:val="002A0DE5"/>
    <w:rsid w:val="002A0E32"/>
    <w:rsid w:val="002A23A1"/>
    <w:rsid w:val="002A3B50"/>
    <w:rsid w:val="002A4A7A"/>
    <w:rsid w:val="002A5177"/>
    <w:rsid w:val="002A60D4"/>
    <w:rsid w:val="002A7455"/>
    <w:rsid w:val="002B6907"/>
    <w:rsid w:val="002C1309"/>
    <w:rsid w:val="002C1B22"/>
    <w:rsid w:val="002C30AF"/>
    <w:rsid w:val="002C7D80"/>
    <w:rsid w:val="002C7EAA"/>
    <w:rsid w:val="002D2622"/>
    <w:rsid w:val="002D572A"/>
    <w:rsid w:val="002E79CD"/>
    <w:rsid w:val="002F1416"/>
    <w:rsid w:val="002F2E4E"/>
    <w:rsid w:val="00301CF6"/>
    <w:rsid w:val="00301F70"/>
    <w:rsid w:val="00304D00"/>
    <w:rsid w:val="00313FA3"/>
    <w:rsid w:val="00316E7C"/>
    <w:rsid w:val="003171CF"/>
    <w:rsid w:val="0032091B"/>
    <w:rsid w:val="00320A04"/>
    <w:rsid w:val="00321AD0"/>
    <w:rsid w:val="003258BE"/>
    <w:rsid w:val="00326704"/>
    <w:rsid w:val="0033077E"/>
    <w:rsid w:val="003339CC"/>
    <w:rsid w:val="00334EF3"/>
    <w:rsid w:val="0034003C"/>
    <w:rsid w:val="003403A7"/>
    <w:rsid w:val="00346A76"/>
    <w:rsid w:val="00346C6C"/>
    <w:rsid w:val="003509B5"/>
    <w:rsid w:val="00352E00"/>
    <w:rsid w:val="00356202"/>
    <w:rsid w:val="00356F89"/>
    <w:rsid w:val="00361993"/>
    <w:rsid w:val="00362ED2"/>
    <w:rsid w:val="00365C30"/>
    <w:rsid w:val="00370CF5"/>
    <w:rsid w:val="00372C94"/>
    <w:rsid w:val="003731C2"/>
    <w:rsid w:val="00373A1F"/>
    <w:rsid w:val="00374494"/>
    <w:rsid w:val="00376F6F"/>
    <w:rsid w:val="003804D8"/>
    <w:rsid w:val="00381E7A"/>
    <w:rsid w:val="00382255"/>
    <w:rsid w:val="003829DE"/>
    <w:rsid w:val="003833C9"/>
    <w:rsid w:val="00386E59"/>
    <w:rsid w:val="00397FE4"/>
    <w:rsid w:val="003A0634"/>
    <w:rsid w:val="003A2F1D"/>
    <w:rsid w:val="003A51BF"/>
    <w:rsid w:val="003B4277"/>
    <w:rsid w:val="003B4798"/>
    <w:rsid w:val="003B54FC"/>
    <w:rsid w:val="003B56D0"/>
    <w:rsid w:val="003B5E8B"/>
    <w:rsid w:val="003B7CE9"/>
    <w:rsid w:val="003B7E48"/>
    <w:rsid w:val="003C24D0"/>
    <w:rsid w:val="003C3C52"/>
    <w:rsid w:val="003D1516"/>
    <w:rsid w:val="003D15A3"/>
    <w:rsid w:val="003E29D7"/>
    <w:rsid w:val="003E4E5D"/>
    <w:rsid w:val="003F0BAC"/>
    <w:rsid w:val="004038DA"/>
    <w:rsid w:val="0040497B"/>
    <w:rsid w:val="00405E7B"/>
    <w:rsid w:val="00406921"/>
    <w:rsid w:val="004155DA"/>
    <w:rsid w:val="0041697B"/>
    <w:rsid w:val="00417095"/>
    <w:rsid w:val="00417616"/>
    <w:rsid w:val="00423076"/>
    <w:rsid w:val="00424148"/>
    <w:rsid w:val="004302E4"/>
    <w:rsid w:val="004352E5"/>
    <w:rsid w:val="00436A5D"/>
    <w:rsid w:val="00445ED2"/>
    <w:rsid w:val="00453BD1"/>
    <w:rsid w:val="004555A4"/>
    <w:rsid w:val="00457E32"/>
    <w:rsid w:val="00464592"/>
    <w:rsid w:val="0046604F"/>
    <w:rsid w:val="00466763"/>
    <w:rsid w:val="004700BF"/>
    <w:rsid w:val="00477ADA"/>
    <w:rsid w:val="004830EB"/>
    <w:rsid w:val="00484FFB"/>
    <w:rsid w:val="00486C49"/>
    <w:rsid w:val="00492193"/>
    <w:rsid w:val="0049357B"/>
    <w:rsid w:val="004938AF"/>
    <w:rsid w:val="00493CEC"/>
    <w:rsid w:val="004971BA"/>
    <w:rsid w:val="0049789E"/>
    <w:rsid w:val="004A2D10"/>
    <w:rsid w:val="004B3392"/>
    <w:rsid w:val="004B3954"/>
    <w:rsid w:val="004B6639"/>
    <w:rsid w:val="004B7E7F"/>
    <w:rsid w:val="004C231E"/>
    <w:rsid w:val="004C38DC"/>
    <w:rsid w:val="004C3BDD"/>
    <w:rsid w:val="004D53DF"/>
    <w:rsid w:val="004D6595"/>
    <w:rsid w:val="004E0657"/>
    <w:rsid w:val="004E4D51"/>
    <w:rsid w:val="004F0F03"/>
    <w:rsid w:val="004F30C9"/>
    <w:rsid w:val="004F40A8"/>
    <w:rsid w:val="004F56D8"/>
    <w:rsid w:val="004F58D9"/>
    <w:rsid w:val="004F71F7"/>
    <w:rsid w:val="00500235"/>
    <w:rsid w:val="005002C6"/>
    <w:rsid w:val="00500B10"/>
    <w:rsid w:val="00507C5F"/>
    <w:rsid w:val="00517832"/>
    <w:rsid w:val="005202E2"/>
    <w:rsid w:val="00520748"/>
    <w:rsid w:val="005225CF"/>
    <w:rsid w:val="00525C84"/>
    <w:rsid w:val="00533DA5"/>
    <w:rsid w:val="005428E0"/>
    <w:rsid w:val="005450F2"/>
    <w:rsid w:val="00547585"/>
    <w:rsid w:val="00547DCD"/>
    <w:rsid w:val="005519BD"/>
    <w:rsid w:val="00553641"/>
    <w:rsid w:val="00554FA0"/>
    <w:rsid w:val="0055520F"/>
    <w:rsid w:val="00561B79"/>
    <w:rsid w:val="00563862"/>
    <w:rsid w:val="00566C7A"/>
    <w:rsid w:val="00566DAD"/>
    <w:rsid w:val="00570E54"/>
    <w:rsid w:val="00570F6C"/>
    <w:rsid w:val="00573C4A"/>
    <w:rsid w:val="00574856"/>
    <w:rsid w:val="00574D48"/>
    <w:rsid w:val="00577DF9"/>
    <w:rsid w:val="0058506C"/>
    <w:rsid w:val="005867F4"/>
    <w:rsid w:val="00591FF5"/>
    <w:rsid w:val="005928CB"/>
    <w:rsid w:val="00593593"/>
    <w:rsid w:val="005942D4"/>
    <w:rsid w:val="005A1C71"/>
    <w:rsid w:val="005A3C70"/>
    <w:rsid w:val="005A6C46"/>
    <w:rsid w:val="005A725F"/>
    <w:rsid w:val="005B4E1A"/>
    <w:rsid w:val="005B6106"/>
    <w:rsid w:val="005C0245"/>
    <w:rsid w:val="005D329B"/>
    <w:rsid w:val="005E290C"/>
    <w:rsid w:val="005E42A1"/>
    <w:rsid w:val="005F0E67"/>
    <w:rsid w:val="005F10E9"/>
    <w:rsid w:val="005F5DD1"/>
    <w:rsid w:val="005F714C"/>
    <w:rsid w:val="005F7A40"/>
    <w:rsid w:val="00605231"/>
    <w:rsid w:val="006102B0"/>
    <w:rsid w:val="00610C40"/>
    <w:rsid w:val="0061111A"/>
    <w:rsid w:val="006113BD"/>
    <w:rsid w:val="00613159"/>
    <w:rsid w:val="00615498"/>
    <w:rsid w:val="0062145A"/>
    <w:rsid w:val="00625251"/>
    <w:rsid w:val="00625ACF"/>
    <w:rsid w:val="006262C6"/>
    <w:rsid w:val="00630F2C"/>
    <w:rsid w:val="00635AA4"/>
    <w:rsid w:val="00637866"/>
    <w:rsid w:val="00640681"/>
    <w:rsid w:val="00641154"/>
    <w:rsid w:val="006466C2"/>
    <w:rsid w:val="00654AEA"/>
    <w:rsid w:val="00656C3A"/>
    <w:rsid w:val="00660ACE"/>
    <w:rsid w:val="00670649"/>
    <w:rsid w:val="0067071D"/>
    <w:rsid w:val="00673057"/>
    <w:rsid w:val="006807CA"/>
    <w:rsid w:val="00682423"/>
    <w:rsid w:val="00683028"/>
    <w:rsid w:val="0068371B"/>
    <w:rsid w:val="00685A38"/>
    <w:rsid w:val="00691684"/>
    <w:rsid w:val="00693BE4"/>
    <w:rsid w:val="006A2972"/>
    <w:rsid w:val="006A5E55"/>
    <w:rsid w:val="006B1D01"/>
    <w:rsid w:val="006B2C61"/>
    <w:rsid w:val="006B3914"/>
    <w:rsid w:val="006B630E"/>
    <w:rsid w:val="006B7F12"/>
    <w:rsid w:val="006C5A0F"/>
    <w:rsid w:val="006C6890"/>
    <w:rsid w:val="006D10CB"/>
    <w:rsid w:val="006D58F2"/>
    <w:rsid w:val="006D66B6"/>
    <w:rsid w:val="006E6397"/>
    <w:rsid w:val="006F06EB"/>
    <w:rsid w:val="006F0740"/>
    <w:rsid w:val="006F275B"/>
    <w:rsid w:val="006F51F8"/>
    <w:rsid w:val="00700D51"/>
    <w:rsid w:val="00701651"/>
    <w:rsid w:val="00701688"/>
    <w:rsid w:val="007030E6"/>
    <w:rsid w:val="007070F2"/>
    <w:rsid w:val="007113A3"/>
    <w:rsid w:val="007127D9"/>
    <w:rsid w:val="007138D2"/>
    <w:rsid w:val="0072690B"/>
    <w:rsid w:val="007306E1"/>
    <w:rsid w:val="00730A72"/>
    <w:rsid w:val="00732146"/>
    <w:rsid w:val="007360BB"/>
    <w:rsid w:val="00745B7E"/>
    <w:rsid w:val="00751A8E"/>
    <w:rsid w:val="00753240"/>
    <w:rsid w:val="00756447"/>
    <w:rsid w:val="00757CCE"/>
    <w:rsid w:val="0076187E"/>
    <w:rsid w:val="00765279"/>
    <w:rsid w:val="00767928"/>
    <w:rsid w:val="00771AC4"/>
    <w:rsid w:val="00773EC2"/>
    <w:rsid w:val="0077509A"/>
    <w:rsid w:val="0077661D"/>
    <w:rsid w:val="00780394"/>
    <w:rsid w:val="007810F6"/>
    <w:rsid w:val="00781635"/>
    <w:rsid w:val="00782193"/>
    <w:rsid w:val="00787095"/>
    <w:rsid w:val="007914FB"/>
    <w:rsid w:val="00793A1F"/>
    <w:rsid w:val="007943B7"/>
    <w:rsid w:val="0079442F"/>
    <w:rsid w:val="007970AF"/>
    <w:rsid w:val="007A0841"/>
    <w:rsid w:val="007A0894"/>
    <w:rsid w:val="007A1F23"/>
    <w:rsid w:val="007A53F4"/>
    <w:rsid w:val="007B33CC"/>
    <w:rsid w:val="007B5B26"/>
    <w:rsid w:val="007C3A2F"/>
    <w:rsid w:val="007C42B3"/>
    <w:rsid w:val="007C64FF"/>
    <w:rsid w:val="007C6BCB"/>
    <w:rsid w:val="007C7CB4"/>
    <w:rsid w:val="007D3452"/>
    <w:rsid w:val="007D5410"/>
    <w:rsid w:val="007E433D"/>
    <w:rsid w:val="007E5201"/>
    <w:rsid w:val="007E7D4B"/>
    <w:rsid w:val="007F3B06"/>
    <w:rsid w:val="00804C0B"/>
    <w:rsid w:val="00810990"/>
    <w:rsid w:val="00812C67"/>
    <w:rsid w:val="008148D4"/>
    <w:rsid w:val="00815A84"/>
    <w:rsid w:val="0082154D"/>
    <w:rsid w:val="00821BC4"/>
    <w:rsid w:val="00825495"/>
    <w:rsid w:val="0082635C"/>
    <w:rsid w:val="00830233"/>
    <w:rsid w:val="00830D42"/>
    <w:rsid w:val="008419CA"/>
    <w:rsid w:val="008449EB"/>
    <w:rsid w:val="00845723"/>
    <w:rsid w:val="0084581D"/>
    <w:rsid w:val="00845B02"/>
    <w:rsid w:val="00850D34"/>
    <w:rsid w:val="008576EA"/>
    <w:rsid w:val="00865C91"/>
    <w:rsid w:val="00883095"/>
    <w:rsid w:val="008916E9"/>
    <w:rsid w:val="008941ED"/>
    <w:rsid w:val="00897843"/>
    <w:rsid w:val="008A0333"/>
    <w:rsid w:val="008A1F8B"/>
    <w:rsid w:val="008A438F"/>
    <w:rsid w:val="008A5A3F"/>
    <w:rsid w:val="008B18C6"/>
    <w:rsid w:val="008B59A0"/>
    <w:rsid w:val="008B6160"/>
    <w:rsid w:val="008B7821"/>
    <w:rsid w:val="008C31A0"/>
    <w:rsid w:val="008C71AE"/>
    <w:rsid w:val="008D1980"/>
    <w:rsid w:val="008D3FB5"/>
    <w:rsid w:val="008D5F23"/>
    <w:rsid w:val="008D5F28"/>
    <w:rsid w:val="008E6943"/>
    <w:rsid w:val="008E6EED"/>
    <w:rsid w:val="008F1340"/>
    <w:rsid w:val="008F764D"/>
    <w:rsid w:val="00900998"/>
    <w:rsid w:val="00905805"/>
    <w:rsid w:val="00906C1D"/>
    <w:rsid w:val="00911C0A"/>
    <w:rsid w:val="0091210F"/>
    <w:rsid w:val="00920BC7"/>
    <w:rsid w:val="00923D6A"/>
    <w:rsid w:val="00930424"/>
    <w:rsid w:val="009307AF"/>
    <w:rsid w:val="00930C8D"/>
    <w:rsid w:val="00932FAF"/>
    <w:rsid w:val="0093342B"/>
    <w:rsid w:val="00934E51"/>
    <w:rsid w:val="009357F1"/>
    <w:rsid w:val="00941134"/>
    <w:rsid w:val="00942ED1"/>
    <w:rsid w:val="00945DDF"/>
    <w:rsid w:val="009511F8"/>
    <w:rsid w:val="009512FB"/>
    <w:rsid w:val="009533DD"/>
    <w:rsid w:val="0095587C"/>
    <w:rsid w:val="00956DD2"/>
    <w:rsid w:val="00962F1B"/>
    <w:rsid w:val="00971748"/>
    <w:rsid w:val="00971D7B"/>
    <w:rsid w:val="0097286E"/>
    <w:rsid w:val="00975466"/>
    <w:rsid w:val="0098029B"/>
    <w:rsid w:val="00997D04"/>
    <w:rsid w:val="009A267B"/>
    <w:rsid w:val="009A27B7"/>
    <w:rsid w:val="009A513B"/>
    <w:rsid w:val="009A646D"/>
    <w:rsid w:val="009A654A"/>
    <w:rsid w:val="009B3574"/>
    <w:rsid w:val="009B3A24"/>
    <w:rsid w:val="009B4399"/>
    <w:rsid w:val="009C3235"/>
    <w:rsid w:val="009D1FA3"/>
    <w:rsid w:val="009D5A98"/>
    <w:rsid w:val="009E154C"/>
    <w:rsid w:val="00A01443"/>
    <w:rsid w:val="00A0596B"/>
    <w:rsid w:val="00A13357"/>
    <w:rsid w:val="00A140D3"/>
    <w:rsid w:val="00A14E67"/>
    <w:rsid w:val="00A15EBC"/>
    <w:rsid w:val="00A16E9F"/>
    <w:rsid w:val="00A1789F"/>
    <w:rsid w:val="00A22480"/>
    <w:rsid w:val="00A323BD"/>
    <w:rsid w:val="00A32FFB"/>
    <w:rsid w:val="00A333CD"/>
    <w:rsid w:val="00A33D99"/>
    <w:rsid w:val="00A41069"/>
    <w:rsid w:val="00A41B20"/>
    <w:rsid w:val="00A42627"/>
    <w:rsid w:val="00A44093"/>
    <w:rsid w:val="00A4719A"/>
    <w:rsid w:val="00A5377D"/>
    <w:rsid w:val="00A55C8E"/>
    <w:rsid w:val="00A614C4"/>
    <w:rsid w:val="00A6208D"/>
    <w:rsid w:val="00A62CFA"/>
    <w:rsid w:val="00A64D69"/>
    <w:rsid w:val="00A65874"/>
    <w:rsid w:val="00A65AD4"/>
    <w:rsid w:val="00A6776C"/>
    <w:rsid w:val="00A6781B"/>
    <w:rsid w:val="00A711DB"/>
    <w:rsid w:val="00A76475"/>
    <w:rsid w:val="00A764AB"/>
    <w:rsid w:val="00A81DBC"/>
    <w:rsid w:val="00A83B06"/>
    <w:rsid w:val="00A90C5B"/>
    <w:rsid w:val="00A91EEA"/>
    <w:rsid w:val="00AA1A30"/>
    <w:rsid w:val="00AA6A22"/>
    <w:rsid w:val="00AB1D70"/>
    <w:rsid w:val="00AC05F1"/>
    <w:rsid w:val="00AC1563"/>
    <w:rsid w:val="00AD53F0"/>
    <w:rsid w:val="00AE0E5F"/>
    <w:rsid w:val="00AF5602"/>
    <w:rsid w:val="00B032BD"/>
    <w:rsid w:val="00B11B17"/>
    <w:rsid w:val="00B1239A"/>
    <w:rsid w:val="00B1427B"/>
    <w:rsid w:val="00B20BFF"/>
    <w:rsid w:val="00B26E5F"/>
    <w:rsid w:val="00B27F0C"/>
    <w:rsid w:val="00B35214"/>
    <w:rsid w:val="00B36F06"/>
    <w:rsid w:val="00B428EA"/>
    <w:rsid w:val="00B44165"/>
    <w:rsid w:val="00B50988"/>
    <w:rsid w:val="00B538FB"/>
    <w:rsid w:val="00B53F30"/>
    <w:rsid w:val="00B66E5B"/>
    <w:rsid w:val="00B70A2D"/>
    <w:rsid w:val="00B71E2B"/>
    <w:rsid w:val="00B81A8D"/>
    <w:rsid w:val="00B96638"/>
    <w:rsid w:val="00B9735F"/>
    <w:rsid w:val="00BA2CCE"/>
    <w:rsid w:val="00BA76D5"/>
    <w:rsid w:val="00BB0A46"/>
    <w:rsid w:val="00BB3D6F"/>
    <w:rsid w:val="00BB50CF"/>
    <w:rsid w:val="00BB5CC6"/>
    <w:rsid w:val="00BC2C8E"/>
    <w:rsid w:val="00BD309D"/>
    <w:rsid w:val="00BD3FEA"/>
    <w:rsid w:val="00BE0AA4"/>
    <w:rsid w:val="00BE0BB1"/>
    <w:rsid w:val="00BE302B"/>
    <w:rsid w:val="00BF1809"/>
    <w:rsid w:val="00BF46AA"/>
    <w:rsid w:val="00BF58C0"/>
    <w:rsid w:val="00BF6525"/>
    <w:rsid w:val="00C06E21"/>
    <w:rsid w:val="00C07453"/>
    <w:rsid w:val="00C107E4"/>
    <w:rsid w:val="00C1133A"/>
    <w:rsid w:val="00C2009D"/>
    <w:rsid w:val="00C21F8A"/>
    <w:rsid w:val="00C22F34"/>
    <w:rsid w:val="00C24C3C"/>
    <w:rsid w:val="00C25087"/>
    <w:rsid w:val="00C273B0"/>
    <w:rsid w:val="00C277C0"/>
    <w:rsid w:val="00C417FF"/>
    <w:rsid w:val="00C457F9"/>
    <w:rsid w:val="00C46E0E"/>
    <w:rsid w:val="00C527AC"/>
    <w:rsid w:val="00C53892"/>
    <w:rsid w:val="00C56A1B"/>
    <w:rsid w:val="00C60DAF"/>
    <w:rsid w:val="00C62C1F"/>
    <w:rsid w:val="00C65DEE"/>
    <w:rsid w:val="00C669CA"/>
    <w:rsid w:val="00C70D8E"/>
    <w:rsid w:val="00C71DAC"/>
    <w:rsid w:val="00C77DE1"/>
    <w:rsid w:val="00C80CB5"/>
    <w:rsid w:val="00C84659"/>
    <w:rsid w:val="00C862E2"/>
    <w:rsid w:val="00C92E1E"/>
    <w:rsid w:val="00C9601E"/>
    <w:rsid w:val="00CA2A3D"/>
    <w:rsid w:val="00CA558B"/>
    <w:rsid w:val="00CA6D14"/>
    <w:rsid w:val="00CA6EE3"/>
    <w:rsid w:val="00CC00F5"/>
    <w:rsid w:val="00CC0261"/>
    <w:rsid w:val="00CC0940"/>
    <w:rsid w:val="00CF27A8"/>
    <w:rsid w:val="00CF38BC"/>
    <w:rsid w:val="00CF5031"/>
    <w:rsid w:val="00CF64B2"/>
    <w:rsid w:val="00D0373F"/>
    <w:rsid w:val="00D054E7"/>
    <w:rsid w:val="00D06023"/>
    <w:rsid w:val="00D1105B"/>
    <w:rsid w:val="00D13789"/>
    <w:rsid w:val="00D15015"/>
    <w:rsid w:val="00D16487"/>
    <w:rsid w:val="00D17F3B"/>
    <w:rsid w:val="00D2019A"/>
    <w:rsid w:val="00D21C43"/>
    <w:rsid w:val="00D229DA"/>
    <w:rsid w:val="00D22D96"/>
    <w:rsid w:val="00D2465E"/>
    <w:rsid w:val="00D2729D"/>
    <w:rsid w:val="00D32C43"/>
    <w:rsid w:val="00D33998"/>
    <w:rsid w:val="00D33F53"/>
    <w:rsid w:val="00D3543E"/>
    <w:rsid w:val="00D37203"/>
    <w:rsid w:val="00D41823"/>
    <w:rsid w:val="00D42EE2"/>
    <w:rsid w:val="00D44F2A"/>
    <w:rsid w:val="00D50A31"/>
    <w:rsid w:val="00D50D26"/>
    <w:rsid w:val="00D5158B"/>
    <w:rsid w:val="00D624D1"/>
    <w:rsid w:val="00D64BFE"/>
    <w:rsid w:val="00D65740"/>
    <w:rsid w:val="00D67980"/>
    <w:rsid w:val="00D73538"/>
    <w:rsid w:val="00D77E8C"/>
    <w:rsid w:val="00D825BE"/>
    <w:rsid w:val="00D83715"/>
    <w:rsid w:val="00D8505F"/>
    <w:rsid w:val="00D8797B"/>
    <w:rsid w:val="00D90D95"/>
    <w:rsid w:val="00D916A3"/>
    <w:rsid w:val="00D931EF"/>
    <w:rsid w:val="00DA21E6"/>
    <w:rsid w:val="00DA5A44"/>
    <w:rsid w:val="00DA67EB"/>
    <w:rsid w:val="00DB1504"/>
    <w:rsid w:val="00DB2E39"/>
    <w:rsid w:val="00DB3982"/>
    <w:rsid w:val="00DB6005"/>
    <w:rsid w:val="00DC050A"/>
    <w:rsid w:val="00DC1BA5"/>
    <w:rsid w:val="00DD31DB"/>
    <w:rsid w:val="00DD4D40"/>
    <w:rsid w:val="00DD5D33"/>
    <w:rsid w:val="00DE01C0"/>
    <w:rsid w:val="00DE2679"/>
    <w:rsid w:val="00DE4974"/>
    <w:rsid w:val="00DE7E2B"/>
    <w:rsid w:val="00DF3F5D"/>
    <w:rsid w:val="00E0323F"/>
    <w:rsid w:val="00E0356A"/>
    <w:rsid w:val="00E0391A"/>
    <w:rsid w:val="00E03B45"/>
    <w:rsid w:val="00E06C66"/>
    <w:rsid w:val="00E119DC"/>
    <w:rsid w:val="00E16D1F"/>
    <w:rsid w:val="00E17034"/>
    <w:rsid w:val="00E17F02"/>
    <w:rsid w:val="00E22994"/>
    <w:rsid w:val="00E30A78"/>
    <w:rsid w:val="00E33995"/>
    <w:rsid w:val="00E36C9E"/>
    <w:rsid w:val="00E37B36"/>
    <w:rsid w:val="00E417D3"/>
    <w:rsid w:val="00E41891"/>
    <w:rsid w:val="00E42144"/>
    <w:rsid w:val="00E450F0"/>
    <w:rsid w:val="00E4650A"/>
    <w:rsid w:val="00E54E6C"/>
    <w:rsid w:val="00E56646"/>
    <w:rsid w:val="00E56E2F"/>
    <w:rsid w:val="00E64EC7"/>
    <w:rsid w:val="00E66671"/>
    <w:rsid w:val="00E73D85"/>
    <w:rsid w:val="00E73E8A"/>
    <w:rsid w:val="00E8145F"/>
    <w:rsid w:val="00E84218"/>
    <w:rsid w:val="00E85570"/>
    <w:rsid w:val="00E85CF4"/>
    <w:rsid w:val="00E9327E"/>
    <w:rsid w:val="00E93B00"/>
    <w:rsid w:val="00E95189"/>
    <w:rsid w:val="00E9771B"/>
    <w:rsid w:val="00EB0DF2"/>
    <w:rsid w:val="00EB11BA"/>
    <w:rsid w:val="00EB41BC"/>
    <w:rsid w:val="00EB7322"/>
    <w:rsid w:val="00EC0A04"/>
    <w:rsid w:val="00EC1E25"/>
    <w:rsid w:val="00EC676B"/>
    <w:rsid w:val="00EC6C86"/>
    <w:rsid w:val="00EE1BCC"/>
    <w:rsid w:val="00EE4786"/>
    <w:rsid w:val="00EF41B1"/>
    <w:rsid w:val="00EF5D54"/>
    <w:rsid w:val="00F110A8"/>
    <w:rsid w:val="00F12960"/>
    <w:rsid w:val="00F131F1"/>
    <w:rsid w:val="00F17BCA"/>
    <w:rsid w:val="00F20CDF"/>
    <w:rsid w:val="00F234B7"/>
    <w:rsid w:val="00F24EE2"/>
    <w:rsid w:val="00F26067"/>
    <w:rsid w:val="00F307D8"/>
    <w:rsid w:val="00F32E74"/>
    <w:rsid w:val="00F33A9B"/>
    <w:rsid w:val="00F44FF6"/>
    <w:rsid w:val="00F47207"/>
    <w:rsid w:val="00F50233"/>
    <w:rsid w:val="00F522A8"/>
    <w:rsid w:val="00F52B95"/>
    <w:rsid w:val="00F54C51"/>
    <w:rsid w:val="00F63CB3"/>
    <w:rsid w:val="00F666FF"/>
    <w:rsid w:val="00F6737A"/>
    <w:rsid w:val="00F70A33"/>
    <w:rsid w:val="00F71F77"/>
    <w:rsid w:val="00F75526"/>
    <w:rsid w:val="00F7746E"/>
    <w:rsid w:val="00F77D74"/>
    <w:rsid w:val="00F8319E"/>
    <w:rsid w:val="00F8321D"/>
    <w:rsid w:val="00F83B9F"/>
    <w:rsid w:val="00F86B5E"/>
    <w:rsid w:val="00F928E3"/>
    <w:rsid w:val="00F947ED"/>
    <w:rsid w:val="00F95E8B"/>
    <w:rsid w:val="00F97E00"/>
    <w:rsid w:val="00F97E72"/>
    <w:rsid w:val="00FA02AA"/>
    <w:rsid w:val="00FA0425"/>
    <w:rsid w:val="00FA04EA"/>
    <w:rsid w:val="00FA3480"/>
    <w:rsid w:val="00FA7C6C"/>
    <w:rsid w:val="00FB01E6"/>
    <w:rsid w:val="00FB7CC0"/>
    <w:rsid w:val="00FC0F91"/>
    <w:rsid w:val="00FC2B00"/>
    <w:rsid w:val="00FC3682"/>
    <w:rsid w:val="00FC7B8C"/>
    <w:rsid w:val="00FD0A80"/>
    <w:rsid w:val="00FD7E9A"/>
    <w:rsid w:val="00FE301A"/>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534F"/>
  <w15:chartTrackingRefBased/>
  <w15:docId w15:val="{75895B30-B901-4E2E-B2E2-DC8A5F86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CD"/>
    <w:pPr>
      <w:spacing w:after="0"/>
      <w:contextualSpacing/>
    </w:pPr>
    <w:rPr>
      <w:rFonts w:ascii="Times New Roman" w:hAnsi="Times New Roman"/>
      <w:sz w:val="24"/>
    </w:rPr>
  </w:style>
  <w:style w:type="paragraph" w:styleId="Heading1">
    <w:name w:val="heading 1"/>
    <w:basedOn w:val="Normal"/>
    <w:next w:val="Normal"/>
    <w:link w:val="Heading1Char"/>
    <w:uiPriority w:val="9"/>
    <w:qFormat/>
    <w:rsid w:val="00A333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A1789F"/>
    <w:pPr>
      <w:spacing w:after="0"/>
      <w:contextualSpacing/>
    </w:pPr>
    <w:rPr>
      <w:rFonts w:ascii="Garamond" w:hAnsi="Garamond"/>
      <w:sz w:val="24"/>
    </w:rPr>
  </w:style>
  <w:style w:type="paragraph" w:styleId="NoSpacing">
    <w:name w:val="No Spacing"/>
    <w:uiPriority w:val="1"/>
    <w:qFormat/>
    <w:rsid w:val="00A1789F"/>
    <w:pPr>
      <w:spacing w:after="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A333C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06C1D"/>
    <w:rPr>
      <w:color w:val="0563C1" w:themeColor="hyperlink"/>
      <w:u w:val="single"/>
    </w:rPr>
  </w:style>
  <w:style w:type="character" w:styleId="UnresolvedMention">
    <w:name w:val="Unresolved Mention"/>
    <w:basedOn w:val="DefaultParagraphFont"/>
    <w:uiPriority w:val="99"/>
    <w:semiHidden/>
    <w:unhideWhenUsed/>
    <w:rsid w:val="00906C1D"/>
    <w:rPr>
      <w:color w:val="605E5C"/>
      <w:shd w:val="clear" w:color="auto" w:fill="E1DFDD"/>
    </w:rPr>
  </w:style>
  <w:style w:type="paragraph" w:styleId="Footer">
    <w:name w:val="footer"/>
    <w:basedOn w:val="Normal"/>
    <w:link w:val="FooterChar"/>
    <w:uiPriority w:val="99"/>
    <w:unhideWhenUsed/>
    <w:rsid w:val="00E8145F"/>
    <w:pPr>
      <w:tabs>
        <w:tab w:val="center" w:pos="4680"/>
        <w:tab w:val="right" w:pos="9360"/>
      </w:tabs>
      <w:spacing w:line="240" w:lineRule="auto"/>
    </w:pPr>
  </w:style>
  <w:style w:type="character" w:customStyle="1" w:styleId="FooterChar">
    <w:name w:val="Footer Char"/>
    <w:basedOn w:val="DefaultParagraphFont"/>
    <w:link w:val="Footer"/>
    <w:uiPriority w:val="99"/>
    <w:rsid w:val="00E8145F"/>
    <w:rPr>
      <w:rFonts w:ascii="Times New Roman" w:hAnsi="Times New Roman"/>
      <w:sz w:val="24"/>
    </w:rPr>
  </w:style>
  <w:style w:type="character" w:styleId="PageNumber">
    <w:name w:val="page number"/>
    <w:basedOn w:val="DefaultParagraphFont"/>
    <w:uiPriority w:val="99"/>
    <w:semiHidden/>
    <w:unhideWhenUsed/>
    <w:rsid w:val="00E8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widesurrogacy.org/blog/the-history-of-surrogacy-a-legal-time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7917-2199-41B1-8263-07BF7AC3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14</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New York Law School</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LaPiana</dc:creator>
  <cp:keywords/>
  <dc:description/>
  <cp:lastModifiedBy>LaPiana</cp:lastModifiedBy>
  <cp:revision>706</cp:revision>
  <dcterms:created xsi:type="dcterms:W3CDTF">2023-12-16T20:16:00Z</dcterms:created>
  <dcterms:modified xsi:type="dcterms:W3CDTF">2023-12-26T16:26:00Z</dcterms:modified>
</cp:coreProperties>
</file>